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ackground w:color="0D1117"/>
  <w:body>
    <w:p>
      <w:pPr>
        <w:spacing w:after="200" w:before="1800"/>
        <w:jc w:val="center"/>
      </w:pPr>
      <w:r>
        <w:rPr>
          <w:rFonts w:ascii="Arial" w:cs="Arial" w:eastAsia="Arial" w:hAnsi="Arial"/>
          <w:b/>
          <w:bCs/>
          <w:color w:val="00FFAA"/>
          <w:sz w:val="96"/>
          <w:szCs w:val="96"/>
        </w:rPr>
        <w:t xml:space="preserve">PINETRADER</w:t>
      </w:r>
    </w:p>
    <w:p>
      <w:pPr>
        <w:spacing w:after="200"/>
        <w:jc w:val="center"/>
      </w:pPr>
      <w:r>
        <w:rPr>
          <w:rFonts w:ascii="Arial" w:cs="Arial" w:eastAsia="Arial" w:hAnsi="Arial"/>
          <w:color w:val="AAAAAA"/>
          <w:sz w:val="32"/>
          <w:szCs w:val="32"/>
        </w:rPr>
        <w:t xml:space="preserve">Das offizielle Handbuch</w:t>
      </w:r>
    </w:p>
    <w:p>
      <w:pPr>
        <w:spacing w:after="200"/>
        <w:jc w:val="center"/>
      </w:pPr>
      <w:r>
        <w:rPr>
          <w:rFonts w:ascii="Arial" w:cs="Arial" w:eastAsia="Arial" w:hAnsi="Arial"/>
          <w:color w:val="6B7A99"/>
          <w:sz w:val="22"/>
          <w:szCs w:val="22"/>
        </w:rPr>
        <w:t xml:space="preserve">Technische Analyse · Trading-Strategien · PineTrader Dashboard</w:t>
      </w:r>
    </w:p>
    <w:p>
      <w:pPr>
        <w:spacing w:after="400"/>
        <w:jc w:val="center"/>
      </w:pPr>
      <w:r>
        <w:rPr>
          <w:rFonts w:ascii="Arial" w:cs="Arial" w:eastAsia="Arial" w:hAnsi="Arial"/>
          <w:color w:val="6B7A99"/>
          <w:sz w:val="20"/>
          <w:szCs w:val="20"/>
        </w:rPr>
        <w:t xml:space="preserve">Version 1.1 · 2026</w:t>
      </w:r>
    </w:p>
    <w:p>
      <w:r>
        <w:br w:type="page"/>
      </w:r>
    </w:p>
    <w:p>
      <w:pPr>
        <w:pStyle w:val="Heading1"/>
        <w:spacing w:after="120" w:before="300"/>
      </w:pPr>
      <w:r>
        <w:rPr>
          <w:rFonts w:ascii="Arial" w:cs="Arial" w:eastAsia="Arial" w:hAnsi="Arial"/>
          <w:b/>
          <w:bCs/>
          <w:color w:val="00FFAA"/>
        </w:rPr>
        <w:t xml:space="preserve">TEIL I: EINFÜHRUNG INS TRADING</w:t>
      </w:r>
    </w:p>
    <w:p>
      <w:pPr>
        <w:pStyle w:val="Heading2"/>
        <w:spacing w:after="120" w:before="300"/>
      </w:pPr>
      <w:r>
        <w:rPr>
          <w:rFonts w:ascii="Arial" w:cs="Arial" w:eastAsia="Arial" w:hAnsi="Arial"/>
          <w:b/>
          <w:bCs/>
          <w:color w:val="C7A05A"/>
        </w:rPr>
        <w:t xml:space="preserve">1.1 Was ist Trading?</w:t>
      </w:r>
    </w:p>
    <w:p>
      <w:pPr>
        <w:spacing w:after="140"/>
      </w:pPr>
      <w:r>
        <w:rPr>
          <w:rFonts w:ascii="Arial" w:cs="Arial" w:eastAsia="Arial" w:hAnsi="Arial"/>
          <w:color w:val="AAAAAA"/>
          <w:sz w:val="22"/>
          <w:szCs w:val="22"/>
        </w:rPr>
        <w:t xml:space="preserve">Trading bezeichnet den Kauf und Verkauf von Finanzinstrumenten — Aktien, ETFs, Rohstoffe, Kryptowährungen oder Devisen — mit dem Ziel, von Kursveränderungen zu profitieren. Im Unterschied zum klassischen Investieren, das auf langfristigen Vermögensaufbau ausgerichtet ist, nutzen Trader kürzere Zeitfenster.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00"/>
      </w:tblGrid>
      <w:tr>
        <w:tc>
          <w:tcPr>
            <w:tcW w:type="dxa" w:w="9200"/>
            <w:tcBorders>
              <w:top w:val="single" w:color="00FFAA" w:sz="4"/>
              <w:left w:val="single" w:color="00FFAA" w:sz="4"/>
              <w:bottom w:val="single" w:color="00FFAA" w:sz="4"/>
              <w:right w:val="single" w:color="00FFAA" w:sz="4"/>
            </w:tcBorders>
            <w:shd w:fill="0D2A1E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00FFAA"/>
                <w:sz w:val="20"/>
                <w:szCs w:val="20"/>
              </w:rPr>
              <w:t xml:space="preserve">Trading vs. Investieren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color w:val="CCCCCC"/>
                <w:sz w:val="18"/>
                <w:szCs w:val="18"/>
              </w:rPr>
              <w:t xml:space="preserve">Investieren: Langfristig, Buy &amp; Hold, Fundamental-getrieben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color w:val="CCCCCC"/>
                <w:sz w:val="18"/>
                <w:szCs w:val="18"/>
              </w:rPr>
              <w:t xml:space="preserve">Trading: Kurz- bis mittelfristig, aktiv, Technisch-getrieben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color w:val="CCCCCC"/>
                <w:sz w:val="18"/>
                <w:szCs w:val="18"/>
              </w:rPr>
              <w:t xml:space="preserve">Swing-Trading: Wochen bis Monate — ideal für Berufstätige</w:t>
            </w:r>
          </w:p>
        </w:tc>
      </w:tr>
    </w:tbl>
    <w:p>
      <w:pPr>
        <w:spacing w:after="200"/>
      </w:pPr>
    </w:p>
    <w:p>
      <w:pPr>
        <w:pStyle w:val="Heading2"/>
        <w:spacing w:after="120" w:before="300"/>
      </w:pPr>
      <w:r>
        <w:rPr>
          <w:rFonts w:ascii="Arial" w:cs="Arial" w:eastAsia="Arial" w:hAnsi="Arial"/>
          <w:b/>
          <w:bCs/>
          <w:color w:val="C7A05A"/>
        </w:rPr>
        <w:t xml:space="preserve">1.4 Reale Erwartungen</w:t>
      </w:r>
    </w:p>
    <w:p>
      <w:pPr>
        <w:spacing w:after="140"/>
      </w:pPr>
      <w:r>
        <w:rPr>
          <w:rFonts w:ascii="Arial" w:cs="Arial" w:eastAsia="Arial" w:hAnsi="Arial"/>
          <w:color w:val="AAAAAA"/>
          <w:sz w:val="22"/>
          <w:szCs w:val="22"/>
        </w:rPr>
        <w:t xml:space="preserve">Studien zeigen, dass ca. 70–80% der aktiven Trader langfristig Verluste machen. Die häufigsten Ursachen: kein Risikomanagement, emotionale Entscheidungen, zu große Positionsgrößen, fehlende Strategie. Dieses Handbuch zeigt den professionellen Ansatz.</w:t>
      </w:r>
    </w:p>
    <w:p>
      <w:r>
        <w:br w:type="page"/>
      </w:r>
    </w:p>
    <w:p>
      <w:pPr>
        <w:pStyle w:val="Heading1"/>
        <w:spacing w:after="120" w:before="300"/>
      </w:pPr>
      <w:r>
        <w:rPr>
          <w:rFonts w:ascii="Arial" w:cs="Arial" w:eastAsia="Arial" w:hAnsi="Arial"/>
          <w:b/>
          <w:bCs/>
          <w:color w:val="00FFAA"/>
        </w:rPr>
        <w:t xml:space="preserve">TEIL II: TECHNISCHE ANALYSE — DAS FUNDAMENT</w:t>
      </w:r>
    </w:p>
    <w:p>
      <w:pPr>
        <w:pStyle w:val="Heading2"/>
        <w:spacing w:after="120" w:before="300"/>
      </w:pPr>
      <w:r>
        <w:rPr>
          <w:rFonts w:ascii="Arial" w:cs="Arial" w:eastAsia="Arial" w:hAnsi="Arial"/>
          <w:b/>
          <w:bCs/>
          <w:color w:val="C7A05A"/>
        </w:rPr>
        <w:t xml:space="preserve">2.1 Die drei Grundprinzipien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Arial" w:cs="Arial" w:eastAsia="Arial" w:hAnsi="Arial"/>
          <w:color w:val="BBBBBB"/>
          <w:sz w:val="20"/>
          <w:szCs w:val="20"/>
        </w:rPr>
        <w:t xml:space="preserve">Der Kurs eskomptiert alles — alle Informationen sind im Kurs enthalten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Arial" w:cs="Arial" w:eastAsia="Arial" w:hAnsi="Arial"/>
          <w:color w:val="BBBBBB"/>
          <w:sz w:val="20"/>
          <w:szCs w:val="20"/>
        </w:rPr>
        <w:t xml:space="preserve">Kurse bewegen sich in Trends — Aufwärts, Abwärts, Seitwärts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Arial" w:cs="Arial" w:eastAsia="Arial" w:hAnsi="Arial"/>
          <w:color w:val="BBBBBB"/>
          <w:sz w:val="20"/>
          <w:szCs w:val="20"/>
        </w:rPr>
        <w:t xml:space="preserve">Geschichte wiederholt sich — Muster entstehen immer wieder</w:t>
      </w:r>
    </w:p>
    <w:p>
      <w:pPr>
        <w:spacing w:after="200"/>
      </w:pPr>
    </w:p>
    <w:p>
      <w:pPr>
        <w:pStyle w:val="Heading2"/>
        <w:spacing w:after="120" w:before="300"/>
      </w:pPr>
      <w:r>
        <w:rPr>
          <w:rFonts w:ascii="Arial" w:cs="Arial" w:eastAsia="Arial" w:hAnsi="Arial"/>
          <w:b/>
          <w:bCs/>
          <w:color w:val="C7A05A"/>
        </w:rPr>
        <w:t xml:space="preserve">2.3 Moving Averages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shd w:fill="131C2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00FFAA"/>
                <w:sz w:val="18"/>
                <w:szCs w:val="18"/>
              </w:rPr>
              <w:t xml:space="preserve">MA</w:t>
            </w:r>
          </w:p>
        </w:tc>
        <w:tc>
          <w:tcPr>
            <w:shd w:fill="131C2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00FFAA"/>
                <w:sz w:val="18"/>
                <w:szCs w:val="18"/>
              </w:rPr>
              <w:t xml:space="preserve">Bedeutung</w:t>
            </w:r>
          </w:p>
        </w:tc>
        <w:tc>
          <w:tcPr>
            <w:shd w:fill="131C2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00FFAA"/>
                <w:sz w:val="18"/>
                <w:szCs w:val="18"/>
              </w:rPr>
              <w:t xml:space="preserve">Verwendung</w:t>
            </w:r>
          </w:p>
        </w:tc>
      </w:tr>
      <w:tr>
        <w:tc>
          <w:tcPr>
            <w:shd w:fill="0D111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DDDDDD"/>
                <w:sz w:val="18"/>
                <w:szCs w:val="18"/>
              </w:rPr>
              <w:t xml:space="preserve">EMA 21</w:t>
            </w:r>
          </w:p>
        </w:tc>
        <w:tc>
          <w:tcPr>
            <w:shd w:fill="0D111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Kurzfristiger Trend, Momentum</w:t>
            </w:r>
          </w:p>
        </w:tc>
        <w:tc>
          <w:tcPr>
            <w:shd w:fill="0D111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Für kurzfristige Signale</w:t>
            </w:r>
          </w:p>
        </w:tc>
      </w:tr>
      <w:tr>
        <w:tc>
          <w:tcPr>
            <w:shd w:fill="11182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DDDDDD"/>
                <w:sz w:val="18"/>
                <w:szCs w:val="18"/>
              </w:rPr>
              <w:t xml:space="preserve">SMA 50</w:t>
            </w:r>
          </w:p>
        </w:tc>
        <w:tc>
          <w:tcPr>
            <w:shd w:fill="11182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Mittelfristiger Trend</w:t>
            </w:r>
          </w:p>
        </w:tc>
        <w:tc>
          <w:tcPr>
            <w:shd w:fill="11182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Ideal für Swing-Trading</w:t>
            </w:r>
          </w:p>
        </w:tc>
      </w:tr>
      <w:tr>
        <w:tc>
          <w:tcPr>
            <w:shd w:fill="0D111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DDDDDD"/>
                <w:sz w:val="18"/>
                <w:szCs w:val="18"/>
              </w:rPr>
              <w:t xml:space="preserve">SMA 200</w:t>
            </w:r>
          </w:p>
        </w:tc>
        <w:tc>
          <w:tcPr>
            <w:shd w:fill="0D111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Langfristiger Trend, fairer Wert</w:t>
            </w:r>
          </w:p>
        </w:tc>
        <w:tc>
          <w:tcPr>
            <w:shd w:fill="0D111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Basis-Bullsignal wenn Kurs darüber</w:t>
            </w:r>
          </w:p>
        </w:tc>
      </w:tr>
    </w:tbl>
    <w:p>
      <w:pPr>
        <w:spacing w:after="200"/>
      </w:pPr>
    </w:p>
    <w:p>
      <w:r>
        <w:br w:type="page"/>
      </w:r>
    </w:p>
    <w:p>
      <w:pPr>
        <w:pStyle w:val="Heading1"/>
        <w:spacing w:after="120" w:before="300"/>
      </w:pPr>
      <w:r>
        <w:rPr>
          <w:rFonts w:ascii="Arial" w:cs="Arial" w:eastAsia="Arial" w:hAnsi="Arial"/>
          <w:b/>
          <w:bCs/>
          <w:color w:val="00FFAA"/>
        </w:rPr>
        <w:t xml:space="preserve">TEIL V: SMART MONEY CONCEPTS (SMC)</w:t>
      </w:r>
    </w:p>
    <w:p>
      <w:pPr>
        <w:pStyle w:val="Heading2"/>
        <w:spacing w:after="120" w:before="300"/>
      </w:pPr>
      <w:r>
        <w:rPr>
          <w:rFonts w:ascii="Arial" w:cs="Arial" w:eastAsia="Arial" w:hAnsi="Arial"/>
          <w:b/>
          <w:bCs/>
          <w:color w:val="C7A05A"/>
        </w:rPr>
        <w:t xml:space="preserve">5.1 SMC Grundkonzepte</w:t>
      </w:r>
    </w:p>
    <w:p>
      <w:pPr>
        <w:spacing w:after="80"/>
        <w:ind w:left="360"/>
      </w:pPr>
      <w:r>
        <w:rPr>
          <w:rFonts w:ascii="Arial" w:cs="Arial" w:eastAsia="Arial" w:hAnsi="Arial"/>
          <w:b/>
          <w:bCs/>
          <w:color w:val="00FFAA"/>
          <w:sz w:val="20"/>
          <w:szCs w:val="20"/>
        </w:rPr>
        <w:t xml:space="preserve">CHoCH: </w:t>
      </w:r>
      <w:r>
        <w:rPr>
          <w:rFonts w:ascii="Arial" w:cs="Arial" w:eastAsia="Arial" w:hAnsi="Arial"/>
          <w:color w:val="CCCCCC"/>
          <w:sz w:val="20"/>
          <w:szCs w:val="20"/>
        </w:rPr>
        <w:t xml:space="preserve">Change of Character — Trendwende, erste Warnung</w:t>
      </w:r>
    </w:p>
    <w:p>
      <w:pPr>
        <w:spacing w:after="80"/>
        <w:ind w:left="360"/>
      </w:pPr>
      <w:r>
        <w:rPr>
          <w:rFonts w:ascii="Arial" w:cs="Arial" w:eastAsia="Arial" w:hAnsi="Arial"/>
          <w:b/>
          <w:bCs/>
          <w:color w:val="00FFAA"/>
          <w:sz w:val="20"/>
          <w:szCs w:val="20"/>
        </w:rPr>
        <w:t xml:space="preserve">BOS: </w:t>
      </w:r>
      <w:r>
        <w:rPr>
          <w:rFonts w:ascii="Arial" w:cs="Arial" w:eastAsia="Arial" w:hAnsi="Arial"/>
          <w:color w:val="CCCCCC"/>
          <w:sz w:val="20"/>
          <w:szCs w:val="20"/>
        </w:rPr>
        <w:t xml:space="preserve">Break of Structure — Trendfortsetzung bestätigt</w:t>
      </w:r>
    </w:p>
    <w:p>
      <w:pPr>
        <w:spacing w:after="80"/>
        <w:ind w:left="360"/>
      </w:pPr>
      <w:r>
        <w:rPr>
          <w:rFonts w:ascii="Arial" w:cs="Arial" w:eastAsia="Arial" w:hAnsi="Arial"/>
          <w:b/>
          <w:bCs/>
          <w:color w:val="00FFAA"/>
          <w:sz w:val="20"/>
          <w:szCs w:val="20"/>
        </w:rPr>
        <w:t xml:space="preserve">OB: </w:t>
      </w:r>
      <w:r>
        <w:rPr>
          <w:rFonts w:ascii="Arial" w:cs="Arial" w:eastAsia="Arial" w:hAnsi="Arial"/>
          <w:color w:val="CCCCCC"/>
          <w:sz w:val="20"/>
          <w:szCs w:val="20"/>
        </w:rPr>
        <w:t xml:space="preserve">Order Block — Preiszone mit starkem institutionellem Interesse</w:t>
      </w:r>
    </w:p>
    <w:p>
      <w:pPr>
        <w:spacing w:after="80"/>
        <w:ind w:left="360"/>
      </w:pPr>
      <w:r>
        <w:rPr>
          <w:rFonts w:ascii="Arial" w:cs="Arial" w:eastAsia="Arial" w:hAnsi="Arial"/>
          <w:b/>
          <w:bCs/>
          <w:color w:val="00FFAA"/>
          <w:sz w:val="20"/>
          <w:szCs w:val="20"/>
        </w:rPr>
        <w:t xml:space="preserve">FVG: </w:t>
      </w:r>
      <w:r>
        <w:rPr>
          <w:rFonts w:ascii="Arial" w:cs="Arial" w:eastAsia="Arial" w:hAnsi="Arial"/>
          <w:color w:val="CCCCCC"/>
          <w:sz w:val="20"/>
          <w:szCs w:val="20"/>
        </w:rPr>
        <w:t xml:space="preserve">Fair Value Gap — Imbalance im Kurs die oft geschlossen wird</w:t>
      </w:r>
    </w:p>
    <w:p>
      <w:pPr>
        <w:spacing w:after="80"/>
        <w:ind w:left="360"/>
      </w:pPr>
      <w:r>
        <w:rPr>
          <w:rFonts w:ascii="Arial" w:cs="Arial" w:eastAsia="Arial" w:hAnsi="Arial"/>
          <w:b/>
          <w:bCs/>
          <w:color w:val="00FFAA"/>
          <w:sz w:val="20"/>
          <w:szCs w:val="20"/>
        </w:rPr>
        <w:t xml:space="preserve">Liquidity Sweep: </w:t>
      </w:r>
      <w:r>
        <w:rPr>
          <w:rFonts w:ascii="Arial" w:cs="Arial" w:eastAsia="Arial" w:hAnsi="Arial"/>
          <w:color w:val="CCCCCC"/>
          <w:sz w:val="20"/>
          <w:szCs w:val="20"/>
        </w:rPr>
        <w:t xml:space="preserve">Kurzer Ausbruch um Stops abzuholen, danach Reversal</w:t>
      </w:r>
    </w:p>
    <w:p>
      <w:pPr>
        <w:spacing w:after="200"/>
      </w:pPr>
    </w:p>
    <w:p>
      <w:r>
        <w:br w:type="page"/>
      </w:r>
    </w:p>
    <w:p>
      <w:pPr>
        <w:pStyle w:val="Heading1"/>
        <w:spacing w:after="120" w:before="300"/>
      </w:pPr>
      <w:r>
        <w:rPr>
          <w:rFonts w:ascii="Arial" w:cs="Arial" w:eastAsia="Arial" w:hAnsi="Arial"/>
          <w:b/>
          <w:bCs/>
          <w:color w:val="00FFAA"/>
        </w:rPr>
        <w:t xml:space="preserve">TEIL VIII: DAS PINETRADER DASHBOARD — VOLLSTÄNDIGE ANLEITUNG</w:t>
      </w:r>
    </w:p>
    <w:p>
      <w:pPr>
        <w:spacing w:after="200"/>
      </w:pPr>
    </w:p>
    <w:p>
      <w:pPr>
        <w:pStyle w:val="Heading2"/>
        <w:spacing w:after="120" w:before="300"/>
      </w:pPr>
      <w:r>
        <w:rPr>
          <w:rFonts w:ascii="Arial" w:cs="Arial" w:eastAsia="Arial" w:hAnsi="Arial"/>
          <w:b/>
          <w:bCs/>
          <w:color w:val="C7A05A"/>
        </w:rPr>
        <w:t xml:space="preserve">8.1 Einrichtung und Quick Start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Arial" w:cs="Arial" w:eastAsia="Arial" w:hAnsi="Arial"/>
          <w:color w:val="CCCCCC"/>
          <w:sz w:val="20"/>
          <w:szCs w:val="20"/>
        </w:rPr>
        <w:t xml:space="preserve">1. Öffne TradingView und lade das PineTrader-Indikator-Script.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Arial" w:cs="Arial" w:eastAsia="Arial" w:hAnsi="Arial"/>
          <w:color w:val="CCCCCC"/>
          <w:sz w:val="20"/>
          <w:szCs w:val="20"/>
        </w:rPr>
        <w:t xml:space="preserve">2. Klicke auf "Einstellungen" (Zahnrad-Symbol) oben rechts.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Arial" w:cs="Arial" w:eastAsia="Arial" w:hAnsi="Arial"/>
          <w:color w:val="CCCCCC"/>
          <w:sz w:val="20"/>
          <w:szCs w:val="20"/>
        </w:rPr>
        <w:t xml:space="preserve">3. Wähle im Quick-Start-Bereich deinen Kontostand und Risikobudget.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Arial" w:cs="Arial" w:eastAsia="Arial" w:hAnsi="Arial"/>
          <w:color w:val="CCCCCC"/>
          <w:sz w:val="20"/>
          <w:szCs w:val="20"/>
        </w:rPr>
        <w:t xml:space="preserve">4. Stelle den gewünschten Auto-Modus ein (Standard: TrendFollow).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Arial" w:cs="Arial" w:eastAsia="Arial" w:hAnsi="Arial"/>
          <w:color w:val="CCCCCC"/>
          <w:sz w:val="20"/>
          <w:szCs w:val="20"/>
        </w:rPr>
        <w:t xml:space="preserve">5. Aktiviere gewünschte Overlays (S/R-Zonen, Elliott-Wellen, Bottom-Signal).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rFonts w:ascii="Arial" w:cs="Arial" w:eastAsia="Arial" w:hAnsi="Arial"/>
          <w:color w:val="CCCCCC"/>
          <w:sz w:val="20"/>
          <w:szCs w:val="20"/>
        </w:rPr>
        <w:t xml:space="preserve">6. Richte die Alerts ein (empfohlen: alle 6 Alert-Typen aktivieren).</w:t>
      </w:r>
    </w:p>
    <w:p>
      <w:pPr>
        <w:spacing w:after="200"/>
      </w:pPr>
    </w:p>
    <w:p>
      <w:pPr>
        <w:pStyle w:val="Heading2"/>
        <w:spacing w:after="120" w:before="300"/>
      </w:pPr>
      <w:r>
        <w:rPr>
          <w:rFonts w:ascii="Arial" w:cs="Arial" w:eastAsia="Arial" w:hAnsi="Arial"/>
          <w:b/>
          <w:bCs/>
          <w:color w:val="C7A05A"/>
        </w:rPr>
        <w:t xml:space="preserve">8.2 Das Rating-System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shd w:fill="131C2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00FFAA"/>
                <w:sz w:val="18"/>
                <w:szCs w:val="18"/>
              </w:rPr>
              <w:t xml:space="preserve">Rating</w:t>
            </w:r>
          </w:p>
        </w:tc>
        <w:tc>
          <w:tcPr>
            <w:shd w:fill="131C2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00FFAA"/>
                <w:sz w:val="18"/>
                <w:szCs w:val="18"/>
              </w:rPr>
              <w:t xml:space="preserve">Bedingung</w:t>
            </w:r>
          </w:p>
        </w:tc>
        <w:tc>
          <w:tcPr>
            <w:shd w:fill="131C2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00FFAA"/>
                <w:sz w:val="18"/>
                <w:szCs w:val="18"/>
              </w:rPr>
              <w:t xml:space="preserve">Bedeutung</w:t>
            </w:r>
          </w:p>
        </w:tc>
      </w:tr>
      <w:tr>
        <w:tc>
          <w:tcPr>
            <w:shd w:fill="0D111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DDDDDD"/>
                <w:sz w:val="18"/>
                <w:szCs w:val="18"/>
              </w:rPr>
              <w:t xml:space="preserve">A++</w:t>
            </w:r>
          </w:p>
        </w:tc>
        <w:tc>
          <w:tcPr>
            <w:shd w:fill="0D111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Score ≥26, Konfluenz ≥85%</w:t>
            </w:r>
          </w:p>
        </w:tc>
        <w:tc>
          <w:tcPr>
            <w:shd w:fill="0D111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Premium-Setup — höchste Priorität</w:t>
            </w:r>
          </w:p>
        </w:tc>
      </w:tr>
      <w:tr>
        <w:tc>
          <w:tcPr>
            <w:shd w:fill="11182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DDDDDD"/>
                <w:sz w:val="18"/>
                <w:szCs w:val="18"/>
              </w:rPr>
              <w:t xml:space="preserve">A+</w:t>
            </w:r>
          </w:p>
        </w:tc>
        <w:tc>
          <w:tcPr>
            <w:shd w:fill="11182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Score ≥23, Konfluenz ≥75%</w:t>
            </w:r>
          </w:p>
        </w:tc>
        <w:tc>
          <w:tcPr>
            <w:shd w:fill="11182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Sehr starkes Setup</w:t>
            </w:r>
          </w:p>
        </w:tc>
      </w:tr>
      <w:tr>
        <w:tc>
          <w:tcPr>
            <w:shd w:fill="0D111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DDDDDD"/>
                <w:sz w:val="18"/>
                <w:szCs w:val="18"/>
              </w:rPr>
              <w:t xml:space="preserve">A</w:t>
            </w:r>
          </w:p>
        </w:tc>
        <w:tc>
          <w:tcPr>
            <w:shd w:fill="0D111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Score ≥19, Konfluenz ≥60%</w:t>
            </w:r>
          </w:p>
        </w:tc>
        <w:tc>
          <w:tcPr>
            <w:shd w:fill="0D111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Solides Trend-Setup</w:t>
            </w:r>
          </w:p>
        </w:tc>
      </w:tr>
      <w:tr>
        <w:tc>
          <w:tcPr>
            <w:shd w:fill="11182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DDDDDD"/>
                <w:sz w:val="18"/>
                <w:szCs w:val="18"/>
              </w:rPr>
              <w:t xml:space="preserve">B+</w:t>
            </w:r>
          </w:p>
        </w:tc>
        <w:tc>
          <w:tcPr>
            <w:shd w:fill="11182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Setup im Aufbau</w:t>
            </w:r>
          </w:p>
        </w:tc>
        <w:tc>
          <w:tcPr>
            <w:shd w:fill="11182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Beobachten, noch kein Entry</w:t>
            </w:r>
          </w:p>
        </w:tc>
      </w:tr>
      <w:tr>
        <w:tc>
          <w:tcPr>
            <w:shd w:fill="0D111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DDDDDD"/>
                <w:sz w:val="18"/>
                <w:szCs w:val="18"/>
              </w:rPr>
              <w:t xml:space="preserve">B</w:t>
            </w:r>
          </w:p>
        </w:tc>
        <w:tc>
          <w:tcPr>
            <w:shd w:fill="0D111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Schwaches Setup</w:t>
            </w:r>
          </w:p>
        </w:tc>
        <w:tc>
          <w:tcPr>
            <w:shd w:fill="0D111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Abwarten</w:t>
            </w:r>
          </w:p>
        </w:tc>
      </w:tr>
      <w:tr>
        <w:tc>
          <w:tcPr>
            <w:shd w:fill="11182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DDDDDD"/>
                <w:sz w:val="18"/>
                <w:szCs w:val="18"/>
              </w:rPr>
              <w:t xml:space="preserve">C</w:t>
            </w:r>
          </w:p>
        </w:tc>
        <w:tc>
          <w:tcPr>
            <w:shd w:fill="11182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Keine klare Richtung</w:t>
            </w:r>
          </w:p>
        </w:tc>
        <w:tc>
          <w:tcPr>
            <w:shd w:fill="11182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Kein Trade</w:t>
            </w:r>
          </w:p>
        </w:tc>
      </w:tr>
    </w:tbl>
    <w:p>
      <w:pPr>
        <w:spacing w:after="300"/>
      </w:pPr>
    </w:p>
    <w:p>
      <w:pPr>
        <w:pStyle w:val="Heading2"/>
        <w:spacing w:after="120" w:before="300"/>
      </w:pPr>
      <w:r>
        <w:rPr>
          <w:rFonts w:ascii="Arial" w:cs="Arial" w:eastAsia="Arial" w:hAnsi="Arial"/>
          <w:b/>
          <w:bCs/>
          <w:color w:val="EF5350"/>
        </w:rPr>
        <w:t xml:space="preserve">8.2 Das 6-Schicht-Schutzsystem</w:t>
      </w:r>
    </w:p>
    <w:p>
      <w:pPr>
        <w:spacing w:after="140"/>
      </w:pPr>
      <w:r>
        <w:rPr>
          <w:rFonts w:ascii="Arial" w:cs="Arial" w:eastAsia="Arial" w:hAnsi="Arial"/>
          <w:color w:val="AAAAAA"/>
          <w:sz w:val="22"/>
          <w:szCs w:val="22"/>
        </w:rPr>
        <w:t xml:space="preserve">PineTrader verfügt über 6 harte Sperren die unabhängig voneinander wirken. Jede einzelne Sperre reicht aus, um einen A-Grade zu verhindern — unabhängig vom Score. Dies ist kein Scoring-Abzug sondern ein hartes Veto.</w:t>
      </w:r>
    </w:p>
    <w:p>
      <w:pPr>
        <w:spacing w:after="120"/>
      </w:pP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131C2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00FFAA"/>
                <w:sz w:val="18"/>
                <w:szCs w:val="18"/>
              </w:rPr>
              <w:t xml:space="preserve">#</w:t>
            </w:r>
          </w:p>
        </w:tc>
        <w:tc>
          <w:tcPr>
            <w:shd w:fill="131C2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00FFAA"/>
                <w:sz w:val="18"/>
                <w:szCs w:val="18"/>
              </w:rPr>
              <w:t xml:space="preserve">Sperre</w:t>
            </w:r>
          </w:p>
        </w:tc>
        <w:tc>
          <w:tcPr>
            <w:shd w:fill="131C2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00FFAA"/>
                <w:sz w:val="18"/>
                <w:szCs w:val="18"/>
              </w:rPr>
              <w:t xml:space="preserve">Auswirkung</w:t>
            </w:r>
          </w:p>
        </w:tc>
        <w:tc>
          <w:tcPr>
            <w:shd w:fill="131C2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00FFAA"/>
                <w:sz w:val="18"/>
                <w:szCs w:val="18"/>
              </w:rPr>
              <w:t xml:space="preserve">Auslöser</w:t>
            </w:r>
          </w:p>
        </w:tc>
      </w:tr>
      <w:tr>
        <w:tc>
          <w:tcPr>
            <w:shd w:fill="0D111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DDDDDD"/>
                <w:sz w:val="18"/>
                <w:szCs w:val="18"/>
              </w:rPr>
              <w:t xml:space="preserve">01</w:t>
            </w:r>
          </w:p>
        </w:tc>
        <w:tc>
          <w:tcPr>
            <w:shd w:fill="0D111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NMPE Bären-Wahrscheinlichkeit ≥65%</w:t>
            </w:r>
          </w:p>
        </w:tc>
        <w:tc>
          <w:tcPr>
            <w:shd w:fill="0D111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Blockiert A / A+ / A++</w:t>
            </w:r>
          </w:p>
        </w:tc>
        <w:tc>
          <w:tcPr>
            <w:shd w:fill="0D111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Das probabilistische Modell zeigt &gt;65% Bärenwahrscheinlichkeit</w:t>
            </w:r>
          </w:p>
        </w:tc>
      </w:tr>
      <w:tr>
        <w:tc>
          <w:tcPr>
            <w:shd w:fill="11182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DDDDDD"/>
                <w:sz w:val="18"/>
                <w:szCs w:val="18"/>
              </w:rPr>
              <w:t xml:space="preserve">02</w:t>
            </w:r>
          </w:p>
        </w:tc>
        <w:tc>
          <w:tcPr>
            <w:shd w:fill="11182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Distribution Score ≥6/10</w:t>
            </w:r>
          </w:p>
        </w:tc>
        <w:tc>
          <w:tcPr>
            <w:shd w:fill="11182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Blockiert A / A+ / A++</w:t>
            </w:r>
          </w:p>
        </w:tc>
        <w:tc>
          <w:tcPr>
            <w:shd w:fill="11182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Starker institutioneller Abverkauf erkannt</w:t>
            </w:r>
          </w:p>
        </w:tc>
      </w:tr>
      <w:tr>
        <w:tc>
          <w:tcPr>
            <w:shd w:fill="0D111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DDDDDD"/>
                <w:sz w:val="18"/>
                <w:szCs w:val="18"/>
              </w:rPr>
              <w:t xml:space="preserve">03</w:t>
            </w:r>
          </w:p>
        </w:tc>
        <w:tc>
          <w:tcPr>
            <w:shd w:fill="0D111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ATH-Nähe (innerhalb 2% vom 52W-Hoch)</w:t>
            </w:r>
          </w:p>
        </w:tc>
        <w:tc>
          <w:tcPr>
            <w:shd w:fill="0D111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Blockiert A+ / A++</w:t>
            </w:r>
          </w:p>
        </w:tc>
        <w:tc>
          <w:tcPr>
            <w:shd w:fill="0D111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Maximales Risiko, minimaler Upside</w:t>
            </w:r>
          </w:p>
        </w:tc>
      </w:tr>
      <w:tr>
        <w:tc>
          <w:tcPr>
            <w:shd w:fill="11182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DDDDDD"/>
                <w:sz w:val="18"/>
                <w:szCs w:val="18"/>
              </w:rPr>
              <w:t xml:space="preserve">04</w:t>
            </w:r>
          </w:p>
        </w:tc>
        <w:tc>
          <w:tcPr>
            <w:shd w:fill="11182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Valuation Score ≥80/100</w:t>
            </w:r>
          </w:p>
        </w:tc>
        <w:tc>
          <w:tcPr>
            <w:shd w:fill="11182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Blockiert A / A+ / A++</w:t>
            </w:r>
          </w:p>
        </w:tc>
        <w:tc>
          <w:tcPr>
            <w:shd w:fill="11182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Statistisch überdehnte Bewertung</w:t>
            </w:r>
          </w:p>
        </w:tc>
      </w:tr>
      <w:tr>
        <w:tc>
          <w:tcPr>
            <w:shd w:fill="0D111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DDDDDD"/>
                <w:sz w:val="18"/>
                <w:szCs w:val="18"/>
              </w:rPr>
              <w:t xml:space="preserve">05</w:t>
            </w:r>
          </w:p>
        </w:tc>
        <w:tc>
          <w:tcPr>
            <w:shd w:fill="0D111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Bärenmarkt-Regime aktiv</w:t>
            </w:r>
          </w:p>
        </w:tc>
        <w:tc>
          <w:tcPr>
            <w:shd w:fill="0D111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Blockiert alle A-Grades</w:t>
            </w:r>
          </w:p>
        </w:tc>
        <w:tc>
          <w:tcPr>
            <w:shd w:fill="0D111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Systemisches Marktrisiko zu hoch</w:t>
            </w:r>
          </w:p>
        </w:tc>
      </w:tr>
      <w:tr>
        <w:tc>
          <w:tcPr>
            <w:shd w:fill="11182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DDDDDD"/>
                <w:sz w:val="18"/>
                <w:szCs w:val="18"/>
              </w:rPr>
              <w:t xml:space="preserve">06</w:t>
            </w:r>
          </w:p>
        </w:tc>
        <w:tc>
          <w:tcPr>
            <w:shd w:fill="11182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ATR-Volatilitätsextrem (&gt;2× Durchschnitt)</w:t>
            </w:r>
          </w:p>
        </w:tc>
        <w:tc>
          <w:tcPr>
            <w:shd w:fill="11182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Blockiert A++ / löst WAIT aus</w:t>
            </w:r>
          </w:p>
        </w:tc>
        <w:tc>
          <w:tcPr>
            <w:shd w:fill="11182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Stop-Loss müsste zu weit gesetzt werden</w:t>
            </w:r>
          </w:p>
        </w:tc>
      </w:tr>
    </w:tbl>
    <w:p>
      <w:pPr>
        <w:spacing w:after="300"/>
      </w:pPr>
    </w:p>
    <w:p>
      <w:pPr>
        <w:pStyle w:val="Heading2"/>
        <w:spacing w:after="120" w:before="300"/>
      </w:pPr>
      <w:r>
        <w:rPr>
          <w:rFonts w:ascii="Arial" w:cs="Arial" w:eastAsia="Arial" w:hAnsi="Arial"/>
          <w:b/>
          <w:bCs/>
          <w:color w:val="C7A05A"/>
        </w:rPr>
        <w:t xml:space="preserve">8.4 Alle Dashboard-Zeilen im Detail</w:t>
      </w:r>
    </w:p>
    <w:p>
      <w:pPr>
        <w:spacing w:after="140"/>
      </w:pPr>
      <w:r>
        <w:rPr>
          <w:rFonts w:ascii="Arial" w:cs="Arial" w:eastAsia="Arial" w:hAnsi="Arial"/>
          <w:color w:val="AAAAAA"/>
          <w:sz w:val="22"/>
          <w:szCs w:val="22"/>
        </w:rPr>
        <w:t xml:space="preserve">Das PineTrader Dashboard besteht aus 38 Zeilen die in Echtzeit aktualisiert werden. Jede Zeile enthält Links- und Rechts-Spalte sowie eine farbige Hintergrundkodierung. Die folgende Tabelle erklärt jede Zeile vollständig.</w:t>
      </w:r>
    </w:p>
    <w:p>
      <w:pPr>
        <w:spacing w:after="200"/>
      </w:pPr>
    </w:p>
    <w:p>
      <w:pPr>
        <w:spacing w:after="60" w:before="240"/>
      </w:pPr>
      <w:r>
        <w:rPr>
          <w:rFonts w:ascii="Arial" w:cs="Arial" w:eastAsia="Arial" w:hAnsi="Arial"/>
          <w:b/>
          <w:bCs/>
          <w:color w:val="00FFAA"/>
          <w:sz w:val="22"/>
          <w:szCs w:val="22"/>
        </w:rPr>
        <w:t xml:space="preserve">▸  Score / Action</w:t>
      </w:r>
    </w:p>
    <w:p>
      <w:pPr>
        <w:spacing w:after="60"/>
        <w:ind w:left="360"/>
      </w:pPr>
      <w:r>
        <w:rPr>
          <w:rFonts w:ascii="Arial" w:cs="Arial" w:eastAsia="Arial" w:hAnsi="Arial"/>
          <w:b/>
          <w:bCs/>
          <w:color w:val="C7A05A"/>
          <w:sz w:val="18"/>
          <w:szCs w:val="18"/>
        </w:rPr>
        <w:t xml:space="preserve">Links: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Score 0–30 + Rating A++–C + Action</w:t>
      </w:r>
      <w:r>
        <w:rPr>
          <w:rFonts w:ascii="Arial" w:cs="Arial" w:eastAsia="Arial" w:hAnsi="Arial"/>
          <w:color w:val="6B7A99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5A87B8"/>
          <w:sz w:val="18"/>
          <w:szCs w:val="18"/>
        </w:rPr>
        <w:t xml:space="preserve">Rechts: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Gesamtpunktzahl + Empfehlung</w:t>
      </w:r>
    </w:p>
    <w:p>
      <w:pPr>
        <w:spacing w:after="160"/>
        <w:ind w:left="360"/>
      </w:pPr>
      <w:r>
        <w:rPr>
          <w:rFonts w:ascii="Arial" w:cs="Arial" w:eastAsia="Arial" w:hAnsi="Arial"/>
          <w:color w:val="AAAAAA"/>
          <w:sz w:val="18"/>
          <w:szCs w:val="18"/>
        </w:rPr>
        <w:t xml:space="preserve">Der zentrale Score (0–30 Punkte) fasst alle 15 Engines zusammen. Das Rating (A++, A+, A, B+, B, C) ist die qualitative Bewertung. Die Action zeigt die aktuelle Handlungsempfehlung: BUY, WAIT, WATCH, REDUCE oder EXIT. Hintergrundfarbe: Grün bei A+/A++, Gelb bei B+, Rot bei C.</w:t>
      </w:r>
    </w:p>
    <w:p>
      <w:pPr>
        <w:spacing w:after="60" w:before="240"/>
      </w:pPr>
      <w:r>
        <w:rPr>
          <w:rFonts w:ascii="Arial" w:cs="Arial" w:eastAsia="Arial" w:hAnsi="Arial"/>
          <w:b/>
          <w:bCs/>
          <w:color w:val="00FFAA"/>
          <w:sz w:val="22"/>
          <w:szCs w:val="22"/>
        </w:rPr>
        <w:t xml:space="preserve">▸  Next Move Odds</w:t>
      </w:r>
    </w:p>
    <w:p>
      <w:pPr>
        <w:spacing w:after="60"/>
        <w:ind w:left="360"/>
      </w:pPr>
      <w:r>
        <w:rPr>
          <w:rFonts w:ascii="Arial" w:cs="Arial" w:eastAsia="Arial" w:hAnsi="Arial"/>
          <w:b/>
          <w:bCs/>
          <w:color w:val="C7A05A"/>
          <w:sz w:val="18"/>
          <w:szCs w:val="18"/>
        </w:rPr>
        <w:t xml:space="preserve">Links: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Wahrscheinlichkeit in % (Bullisch / Lateral / Bärisch)</w:t>
      </w:r>
      <w:r>
        <w:rPr>
          <w:rFonts w:ascii="Arial" w:cs="Arial" w:eastAsia="Arial" w:hAnsi="Arial"/>
          <w:color w:val="6B7A99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5A87B8"/>
          <w:sz w:val="18"/>
          <w:szCs w:val="18"/>
        </w:rPr>
        <w:t xml:space="preserve">Rechts: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Konfidenz + dominante Richtung</w:t>
      </w:r>
    </w:p>
    <w:p>
      <w:pPr>
        <w:spacing w:after="160"/>
        <w:ind w:left="360"/>
      </w:pPr>
      <w:r>
        <w:rPr>
          <w:rFonts w:ascii="Arial" w:cs="Arial" w:eastAsia="Arial" w:hAnsi="Arial"/>
          <w:color w:val="AAAAAA"/>
          <w:sz w:val="18"/>
          <w:szCs w:val="18"/>
        </w:rPr>
        <w:t xml:space="preserve">Das NMPE-Modell (Next Move Probability Engine) berechnet mit Softmax-Funktion über 8 Faktoren die Wahrscheinlichkeit für die nächste Kursbewegung. Bullisch ≥70% und bearish &lt;35% sind Voraussetzung für Kaufsignale. Bei bearisch ≥65% werden alle A-Grades automatisch blockiert.</w:t>
      </w:r>
    </w:p>
    <w:p>
      <w:pPr>
        <w:spacing w:after="60" w:before="240"/>
      </w:pPr>
      <w:r>
        <w:rPr>
          <w:rFonts w:ascii="Arial" w:cs="Arial" w:eastAsia="Arial" w:hAnsi="Arial"/>
          <w:b/>
          <w:bCs/>
          <w:color w:val="00FFAA"/>
          <w:sz w:val="22"/>
          <w:szCs w:val="22"/>
        </w:rPr>
        <w:t xml:space="preserve">▸  Volume</w:t>
      </w:r>
    </w:p>
    <w:p>
      <w:pPr>
        <w:spacing w:after="60"/>
        <w:ind w:left="360"/>
      </w:pPr>
      <w:r>
        <w:rPr>
          <w:rFonts w:ascii="Arial" w:cs="Arial" w:eastAsia="Arial" w:hAnsi="Arial"/>
          <w:b/>
          <w:bCs/>
          <w:color w:val="C7A05A"/>
          <w:sz w:val="18"/>
          <w:szCs w:val="18"/>
        </w:rPr>
        <w:t xml:space="preserve">Links: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Volumen-Balken + Trend</w:t>
      </w:r>
      <w:r>
        <w:rPr>
          <w:rFonts w:ascii="Arial" w:cs="Arial" w:eastAsia="Arial" w:hAnsi="Arial"/>
          <w:color w:val="6B7A99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5A87B8"/>
          <w:sz w:val="18"/>
          <w:szCs w:val="18"/>
        </w:rPr>
        <w:t xml:space="preserve">Rechts: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Climax/OBV-Status</w:t>
      </w:r>
    </w:p>
    <w:p>
      <w:pPr>
        <w:spacing w:after="160"/>
        <w:ind w:left="360"/>
      </w:pPr>
      <w:r>
        <w:rPr>
          <w:rFonts w:ascii="Arial" w:cs="Arial" w:eastAsia="Arial" w:hAnsi="Arial"/>
          <w:color w:val="AAAAAA"/>
          <w:sz w:val="18"/>
          <w:szCs w:val="18"/>
        </w:rPr>
        <w:t xml:space="preserve">Zeigt das aktuelle Volumen relativ zum 20-Bar-Durchschnitt als visuellen Balken. Climax-Volumen (&gt;200% Ø) wird separat markiert. OBV-Suffix zeigt ob der On-Balance-Volume-Trend steigend (▲) oder fallend (▼) ist.</w:t>
      </w:r>
    </w:p>
    <w:p>
      <w:pPr>
        <w:spacing w:after="60" w:before="240"/>
      </w:pPr>
      <w:r>
        <w:rPr>
          <w:rFonts w:ascii="Arial" w:cs="Arial" w:eastAsia="Arial" w:hAnsi="Arial"/>
          <w:b/>
          <w:bCs/>
          <w:color w:val="00FFAA"/>
          <w:sz w:val="22"/>
          <w:szCs w:val="22"/>
        </w:rPr>
        <w:t xml:space="preserve">▸  Buy/Sell Pressure</w:t>
      </w:r>
    </w:p>
    <w:p>
      <w:pPr>
        <w:spacing w:after="60"/>
        <w:ind w:left="360"/>
      </w:pPr>
      <w:r>
        <w:rPr>
          <w:rFonts w:ascii="Arial" w:cs="Arial" w:eastAsia="Arial" w:hAnsi="Arial"/>
          <w:b/>
          <w:bCs/>
          <w:color w:val="C7A05A"/>
          <w:sz w:val="18"/>
          <w:szCs w:val="18"/>
        </w:rPr>
        <w:t xml:space="preserve">Links: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Acc X / Dist X  Net: Y</w:t>
      </w:r>
      <w:r>
        <w:rPr>
          <w:rFonts w:ascii="Arial" w:cs="Arial" w:eastAsia="Arial" w:hAnsi="Arial"/>
          <w:color w:val="6B7A99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5A87B8"/>
          <w:sz w:val="18"/>
          <w:szCs w:val="18"/>
        </w:rPr>
        <w:t xml:space="preserve">Rechts: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Richtung + Stärke</w:t>
      </w:r>
    </w:p>
    <w:p>
      <w:pPr>
        <w:spacing w:after="160"/>
        <w:ind w:left="360"/>
      </w:pPr>
      <w:r>
        <w:rPr>
          <w:rFonts w:ascii="Arial" w:cs="Arial" w:eastAsia="Arial" w:hAnsi="Arial"/>
          <w:color w:val="AAAAAA"/>
          <w:sz w:val="18"/>
          <w:szCs w:val="18"/>
        </w:rPr>
        <w:t xml:space="preserve">Zählt Akkumulations- vs. Distributions-Bars der letzten 20 Perioden. Net: positiv = mehr Kaufdruck, negativ = mehr Verkaufsdruck. Basis für den Distribution Score.</w:t>
      </w:r>
    </w:p>
    <w:p>
      <w:pPr>
        <w:spacing w:after="60" w:before="240"/>
      </w:pPr>
      <w:r>
        <w:rPr>
          <w:rFonts w:ascii="Arial" w:cs="Arial" w:eastAsia="Arial" w:hAnsi="Arial"/>
          <w:b/>
          <w:bCs/>
          <w:color w:val="00FFAA"/>
          <w:sz w:val="22"/>
          <w:szCs w:val="22"/>
        </w:rPr>
        <w:t xml:space="preserve">▸  Momentum</w:t>
      </w:r>
    </w:p>
    <w:p>
      <w:pPr>
        <w:spacing w:after="60"/>
        <w:ind w:left="360"/>
      </w:pPr>
      <w:r>
        <w:rPr>
          <w:rFonts w:ascii="Arial" w:cs="Arial" w:eastAsia="Arial" w:hAnsi="Arial"/>
          <w:b/>
          <w:bCs/>
          <w:color w:val="C7A05A"/>
          <w:sz w:val="18"/>
          <w:szCs w:val="18"/>
        </w:rPr>
        <w:t xml:space="preserve">Links: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Momentum-Status + Richtung</w:t>
      </w:r>
      <w:r>
        <w:rPr>
          <w:rFonts w:ascii="Arial" w:cs="Arial" w:eastAsia="Arial" w:hAnsi="Arial"/>
          <w:color w:val="6B7A99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5A87B8"/>
          <w:sz w:val="18"/>
          <w:szCs w:val="18"/>
        </w:rPr>
        <w:t xml:space="preserve">Rechts: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RSI / MACD / ROC-Details</w:t>
      </w:r>
    </w:p>
    <w:p>
      <w:pPr>
        <w:spacing w:after="160"/>
        <w:ind w:left="360"/>
      </w:pPr>
      <w:r>
        <w:rPr>
          <w:rFonts w:ascii="Arial" w:cs="Arial" w:eastAsia="Arial" w:hAnsi="Arial"/>
          <w:color w:val="AAAAAA"/>
          <w:sz w:val="18"/>
          <w:szCs w:val="18"/>
        </w:rPr>
        <w:t xml:space="preserve">Kombiniert RSI, MACD-Histogram, ROC und ADC zu einem Gesamtmomentum. ⚡ zeigt einen Momentum-Turn (wichtiges Signal). Farbe: Grün = steigendes Momentum, Rot = fallendes Momentum.</w:t>
      </w:r>
    </w:p>
    <w:p>
      <w:pPr>
        <w:spacing w:after="60" w:before="240"/>
      </w:pPr>
      <w:r>
        <w:rPr>
          <w:rFonts w:ascii="Arial" w:cs="Arial" w:eastAsia="Arial" w:hAnsi="Arial"/>
          <w:b/>
          <w:bCs/>
          <w:color w:val="00FFAA"/>
          <w:sz w:val="22"/>
          <w:szCs w:val="22"/>
        </w:rPr>
        <w:t xml:space="preserve">▸  Trend</w:t>
      </w:r>
    </w:p>
    <w:p>
      <w:pPr>
        <w:spacing w:after="60"/>
        <w:ind w:left="360"/>
      </w:pPr>
      <w:r>
        <w:rPr>
          <w:rFonts w:ascii="Arial" w:cs="Arial" w:eastAsia="Arial" w:hAnsi="Arial"/>
          <w:b/>
          <w:bCs/>
          <w:color w:val="C7A05A"/>
          <w:sz w:val="18"/>
          <w:szCs w:val="18"/>
        </w:rPr>
        <w:t xml:space="preserve">Links: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Haupttrendrichtung (Daily)</w:t>
      </w:r>
      <w:r>
        <w:rPr>
          <w:rFonts w:ascii="Arial" w:cs="Arial" w:eastAsia="Arial" w:hAnsi="Arial"/>
          <w:color w:val="6B7A99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5A87B8"/>
          <w:sz w:val="18"/>
          <w:szCs w:val="18"/>
        </w:rPr>
        <w:t xml:space="preserve">Rechts: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Multi-Timeframe (W1/M1)</w:t>
      </w:r>
    </w:p>
    <w:p>
      <w:pPr>
        <w:spacing w:after="160"/>
        <w:ind w:left="360"/>
      </w:pPr>
      <w:r>
        <w:rPr>
          <w:rFonts w:ascii="Arial" w:cs="Arial" w:eastAsia="Arial" w:hAnsi="Arial"/>
          <w:color w:val="AAAAAA"/>
          <w:sz w:val="18"/>
          <w:szCs w:val="18"/>
        </w:rPr>
        <w:t xml:space="preserve">Bestimmt den Trend anhand EMA21, SMA50, SMA200 und ADX. Zeigt zusätzlich Weekly- und Monthly-Trend für Multi-Timeframe-Analyse. Pflicht: Für A-Grade müssen Daily + Weekly Trend übereinstimmen.</w:t>
      </w:r>
    </w:p>
    <w:p>
      <w:pPr>
        <w:spacing w:after="60" w:before="240"/>
      </w:pPr>
      <w:r>
        <w:rPr>
          <w:rFonts w:ascii="Arial" w:cs="Arial" w:eastAsia="Arial" w:hAnsi="Arial"/>
          <w:b/>
          <w:bCs/>
          <w:color w:val="00FFAA"/>
          <w:sz w:val="22"/>
          <w:szCs w:val="22"/>
        </w:rPr>
        <w:t xml:space="preserve">▸  Regime</w:t>
      </w:r>
    </w:p>
    <w:p>
      <w:pPr>
        <w:spacing w:after="60"/>
        <w:ind w:left="360"/>
      </w:pPr>
      <w:r>
        <w:rPr>
          <w:rFonts w:ascii="Arial" w:cs="Arial" w:eastAsia="Arial" w:hAnsi="Arial"/>
          <w:b/>
          <w:bCs/>
          <w:color w:val="C7A05A"/>
          <w:sz w:val="18"/>
          <w:szCs w:val="18"/>
        </w:rPr>
        <w:t xml:space="preserve">Links: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Marktregime (Bull/Bear/Chop/Breakout)</w:t>
      </w:r>
      <w:r>
        <w:rPr>
          <w:rFonts w:ascii="Arial" w:cs="Arial" w:eastAsia="Arial" w:hAnsi="Arial"/>
          <w:color w:val="6B7A99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5A87B8"/>
          <w:sz w:val="18"/>
          <w:szCs w:val="18"/>
        </w:rPr>
        <w:t xml:space="preserve">Rechts: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VIX + Volatilitätsstatus</w:t>
      </w:r>
    </w:p>
    <w:p>
      <w:pPr>
        <w:spacing w:after="160"/>
        <w:ind w:left="360"/>
      </w:pPr>
      <w:r>
        <w:rPr>
          <w:rFonts w:ascii="Arial" w:cs="Arial" w:eastAsia="Arial" w:hAnsi="Arial"/>
          <w:color w:val="AAAAAA"/>
          <w:sz w:val="18"/>
          <w:szCs w:val="18"/>
        </w:rPr>
        <w:t xml:space="preserve">Klassifiziert den Gesamtmarkt. Bull Market und Breakout ermöglichen A+-Grades. Bear Market blockiert alle Kaufsignale. Chop = Seitwärtsmarkt, erhöhte Vorsicht.</w:t>
      </w:r>
    </w:p>
    <w:p>
      <w:pPr>
        <w:spacing w:after="60" w:before="240"/>
      </w:pPr>
      <w:r>
        <w:rPr>
          <w:rFonts w:ascii="Arial" w:cs="Arial" w:eastAsia="Arial" w:hAnsi="Arial"/>
          <w:b/>
          <w:bCs/>
          <w:color w:val="00FFAA"/>
          <w:sz w:val="22"/>
          <w:szCs w:val="22"/>
        </w:rPr>
        <w:t xml:space="preserve">▸  Setup Quality</w:t>
      </w:r>
    </w:p>
    <w:p>
      <w:pPr>
        <w:spacing w:after="60"/>
        <w:ind w:left="360"/>
      </w:pPr>
      <w:r>
        <w:rPr>
          <w:rFonts w:ascii="Arial" w:cs="Arial" w:eastAsia="Arial" w:hAnsi="Arial"/>
          <w:b/>
          <w:bCs/>
          <w:color w:val="C7A05A"/>
          <w:sz w:val="18"/>
          <w:szCs w:val="18"/>
        </w:rPr>
        <w:t xml:space="preserve">Links: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QM-Score / Edge-Score</w:t>
      </w:r>
      <w:r>
        <w:rPr>
          <w:rFonts w:ascii="Arial" w:cs="Arial" w:eastAsia="Arial" w:hAnsi="Arial"/>
          <w:color w:val="6B7A99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5A87B8"/>
          <w:sz w:val="18"/>
          <w:szCs w:val="18"/>
        </w:rPr>
        <w:t xml:space="preserve">Rechts: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Expected Value (EV)</w:t>
      </w:r>
    </w:p>
    <w:p>
      <w:pPr>
        <w:spacing w:after="160"/>
        <w:ind w:left="360"/>
      </w:pPr>
      <w:r>
        <w:rPr>
          <w:rFonts w:ascii="Arial" w:cs="Arial" w:eastAsia="Arial" w:hAnsi="Arial"/>
          <w:color w:val="AAAAAA"/>
          <w:sz w:val="18"/>
          <w:szCs w:val="18"/>
        </w:rPr>
        <w:t xml:space="preserve">QM-Score (Quality Momentum, 0–10): bewertet Momentum-Qualität und Pattern-Güte. Edge-Score: Gesamtkantenbeurteilung inkl. Chance/Risiko-Verhältnis.</w:t>
      </w:r>
    </w:p>
    <w:p>
      <w:pPr>
        <w:spacing w:after="60" w:before="240"/>
      </w:pPr>
      <w:r>
        <w:rPr>
          <w:rFonts w:ascii="Arial" w:cs="Arial" w:eastAsia="Arial" w:hAnsi="Arial"/>
          <w:b/>
          <w:bCs/>
          <w:color w:val="00FFAA"/>
          <w:sz w:val="22"/>
          <w:szCs w:val="22"/>
        </w:rPr>
        <w:t xml:space="preserve">▸  Valuation</w:t>
      </w:r>
    </w:p>
    <w:p>
      <w:pPr>
        <w:spacing w:after="60"/>
        <w:ind w:left="360"/>
      </w:pPr>
      <w:r>
        <w:rPr>
          <w:rFonts w:ascii="Arial" w:cs="Arial" w:eastAsia="Arial" w:hAnsi="Arial"/>
          <w:b/>
          <w:bCs/>
          <w:color w:val="C7A05A"/>
          <w:sz w:val="18"/>
          <w:szCs w:val="18"/>
        </w:rPr>
        <w:t xml:space="preserve">Links: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Bewertungs-Score 0–100</w:t>
      </w:r>
      <w:r>
        <w:rPr>
          <w:rFonts w:ascii="Arial" w:cs="Arial" w:eastAsia="Arial" w:hAnsi="Arial"/>
          <w:color w:val="6B7A99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5A87B8"/>
          <w:sz w:val="18"/>
          <w:szCs w:val="18"/>
        </w:rPr>
        <w:t xml:space="preserve">Rechts: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Abstand zur SMA200</w:t>
      </w:r>
    </w:p>
    <w:p>
      <w:pPr>
        <w:spacing w:after="160"/>
        <w:ind w:left="360"/>
      </w:pPr>
      <w:r>
        <w:rPr>
          <w:rFonts w:ascii="Arial" w:cs="Arial" w:eastAsia="Arial" w:hAnsi="Arial"/>
          <w:color w:val="AAAAAA"/>
          <w:sz w:val="18"/>
          <w:szCs w:val="18"/>
        </w:rPr>
        <w:t xml:space="preserve">Misst den Abstand vom fairen Wert (SMA200), normalisiert über 2 Jahre. 0–30 = günstig, 30–60 = fair, 60–80 = teuer, &gt;80 = sehr teuer. Über 80 werden A-Grades blockiert.</w:t>
      </w:r>
    </w:p>
    <w:p>
      <w:pPr>
        <w:spacing w:after="60" w:before="240"/>
      </w:pPr>
      <w:r>
        <w:rPr>
          <w:rFonts w:ascii="Arial" w:cs="Arial" w:eastAsia="Arial" w:hAnsi="Arial"/>
          <w:b/>
          <w:bCs/>
          <w:color w:val="00FFAA"/>
          <w:sz w:val="22"/>
          <w:szCs w:val="22"/>
        </w:rPr>
        <w:t xml:space="preserve">▸  Distribution</w:t>
      </w:r>
    </w:p>
    <w:p>
      <w:pPr>
        <w:spacing w:after="60"/>
        <w:ind w:left="360"/>
      </w:pPr>
      <w:r>
        <w:rPr>
          <w:rFonts w:ascii="Arial" w:cs="Arial" w:eastAsia="Arial" w:hAnsi="Arial"/>
          <w:b/>
          <w:bCs/>
          <w:color w:val="C7A05A"/>
          <w:sz w:val="18"/>
          <w:szCs w:val="18"/>
        </w:rPr>
        <w:t xml:space="preserve">Links: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Distribution Score 0–10 + Trend</w:t>
      </w:r>
      <w:r>
        <w:rPr>
          <w:rFonts w:ascii="Arial" w:cs="Arial" w:eastAsia="Arial" w:hAnsi="Arial"/>
          <w:color w:val="6B7A99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5A87B8"/>
          <w:sz w:val="18"/>
          <w:szCs w:val="18"/>
        </w:rPr>
        <w:t xml:space="preserve">Rechts: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OBV/Acc-Dist Details</w:t>
      </w:r>
    </w:p>
    <w:p>
      <w:pPr>
        <w:spacing w:after="160"/>
        <w:ind w:left="360"/>
      </w:pPr>
      <w:r>
        <w:rPr>
          <w:rFonts w:ascii="Arial" w:cs="Arial" w:eastAsia="Arial" w:hAnsi="Arial"/>
          <w:color w:val="AAAAAA"/>
          <w:sz w:val="18"/>
          <w:szCs w:val="18"/>
        </w:rPr>
        <w:t xml:space="preserve">Misst institutionellen Abverkauf über OBV-Divergenz, Churning und Acc/Dist-Muster. Score ≥6 blockiert alle A-Grades (hartes Veto). Score ≥4 zeigt Warnung an.</w:t>
      </w:r>
    </w:p>
    <w:p>
      <w:pPr>
        <w:spacing w:after="60" w:before="240"/>
      </w:pPr>
      <w:r>
        <w:rPr>
          <w:rFonts w:ascii="Arial" w:cs="Arial" w:eastAsia="Arial" w:hAnsi="Arial"/>
          <w:b/>
          <w:bCs/>
          <w:color w:val="00FFAA"/>
          <w:sz w:val="22"/>
          <w:szCs w:val="22"/>
        </w:rPr>
        <w:t xml:space="preserve">▸  RS vs Market</w:t>
      </w:r>
    </w:p>
    <w:p>
      <w:pPr>
        <w:spacing w:after="60"/>
        <w:ind w:left="360"/>
      </w:pPr>
      <w:r>
        <w:rPr>
          <w:rFonts w:ascii="Arial" w:cs="Arial" w:eastAsia="Arial" w:hAnsi="Arial"/>
          <w:b/>
          <w:bCs/>
          <w:color w:val="C7A05A"/>
          <w:sz w:val="18"/>
          <w:szCs w:val="18"/>
        </w:rPr>
        <w:t xml:space="preserve">Links: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RS Rating 1–99</w:t>
      </w:r>
      <w:r>
        <w:rPr>
          <w:rFonts w:ascii="Arial" w:cs="Arial" w:eastAsia="Arial" w:hAnsi="Arial"/>
          <w:color w:val="6B7A99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5A87B8"/>
          <w:sz w:val="18"/>
          <w:szCs w:val="18"/>
        </w:rPr>
        <w:t xml:space="preserve">Rechts: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Relative Performance vs. Benchmark</w:t>
      </w:r>
    </w:p>
    <w:p>
      <w:pPr>
        <w:spacing w:after="160"/>
        <w:ind w:left="360"/>
      </w:pPr>
      <w:r>
        <w:rPr>
          <w:rFonts w:ascii="Arial" w:cs="Arial" w:eastAsia="Arial" w:hAnsi="Arial"/>
          <w:color w:val="AAAAAA"/>
          <w:sz w:val="18"/>
          <w:szCs w:val="18"/>
        </w:rPr>
        <w:t xml:space="preserve">Vergleicht die Performance des Instruments mit dem automatisch gewählten Benchmark (z.B. DAX für EUR-Aktien, SPX für USD-Werte). Rating 80+ = RS-Leader. Der aktive Benchmark wird in [Klammern] angezeigt.</w:t>
      </w:r>
    </w:p>
    <w:p>
      <w:pPr>
        <w:spacing w:after="60" w:before="240"/>
      </w:pPr>
      <w:r>
        <w:rPr>
          <w:rFonts w:ascii="Arial" w:cs="Arial" w:eastAsia="Arial" w:hAnsi="Arial"/>
          <w:b/>
          <w:bCs/>
          <w:color w:val="00FFAA"/>
          <w:sz w:val="22"/>
          <w:szCs w:val="22"/>
        </w:rPr>
        <w:t xml:space="preserve">▸  Strategy</w:t>
      </w:r>
    </w:p>
    <w:p>
      <w:pPr>
        <w:spacing w:after="60"/>
        <w:ind w:left="360"/>
      </w:pPr>
      <w:r>
        <w:rPr>
          <w:rFonts w:ascii="Arial" w:cs="Arial" w:eastAsia="Arial" w:hAnsi="Arial"/>
          <w:b/>
          <w:bCs/>
          <w:color w:val="C7A05A"/>
          <w:sz w:val="18"/>
          <w:szCs w:val="18"/>
        </w:rPr>
        <w:t xml:space="preserve">Links: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Aktueller Auto-Modus + Signal</w:t>
      </w:r>
      <w:r>
        <w:rPr>
          <w:rFonts w:ascii="Arial" w:cs="Arial" w:eastAsia="Arial" w:hAnsi="Arial"/>
          <w:color w:val="6B7A99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5A87B8"/>
          <w:sz w:val="18"/>
          <w:szCs w:val="18"/>
        </w:rPr>
        <w:t xml:space="preserve">Rechts: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TP1 oder Warnung</w:t>
      </w:r>
    </w:p>
    <w:p>
      <w:pPr>
        <w:spacing w:after="160"/>
        <w:ind w:left="360"/>
      </w:pPr>
      <w:r>
        <w:rPr>
          <w:rFonts w:ascii="Arial" w:cs="Arial" w:eastAsia="Arial" w:hAnsi="Arial"/>
          <w:color w:val="AAAAAA"/>
          <w:sz w:val="18"/>
          <w:szCs w:val="18"/>
        </w:rPr>
        <w:t xml:space="preserve">Zeigt den aktiven Auto-Modus (TrendFollow / Dip Buy / Anti-Cyclic / Breakout / SMC Reversal) und bei aktivem Kaufsignal das erste Take-Profit-Level.</w:t>
      </w:r>
    </w:p>
    <w:p>
      <w:pPr>
        <w:spacing w:after="60" w:before="240"/>
      </w:pPr>
      <w:r>
        <w:rPr>
          <w:rFonts w:ascii="Arial" w:cs="Arial" w:eastAsia="Arial" w:hAnsi="Arial"/>
          <w:b/>
          <w:bCs/>
          <w:color w:val="00FFAA"/>
          <w:sz w:val="22"/>
          <w:szCs w:val="22"/>
        </w:rPr>
        <w:t xml:space="preserve">▸  Dip</w:t>
      </w:r>
    </w:p>
    <w:p>
      <w:pPr>
        <w:spacing w:after="60"/>
        <w:ind w:left="360"/>
      </w:pPr>
      <w:r>
        <w:rPr>
          <w:rFonts w:ascii="Arial" w:cs="Arial" w:eastAsia="Arial" w:hAnsi="Arial"/>
          <w:b/>
          <w:bCs/>
          <w:color w:val="C7A05A"/>
          <w:sz w:val="18"/>
          <w:szCs w:val="18"/>
        </w:rPr>
        <w:t xml:space="preserve">Links: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Risk-Score 0–12</w:t>
      </w:r>
      <w:r>
        <w:rPr>
          <w:rFonts w:ascii="Arial" w:cs="Arial" w:eastAsia="Arial" w:hAnsi="Arial"/>
          <w:color w:val="6B7A99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5A87B8"/>
          <w:sz w:val="18"/>
          <w:szCs w:val="18"/>
        </w:rPr>
        <w:t xml:space="preserve">Rechts: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Dip-Qualität</w:t>
      </w:r>
    </w:p>
    <w:p>
      <w:pPr>
        <w:spacing w:after="160"/>
        <w:ind w:left="360"/>
      </w:pPr>
      <w:r>
        <w:rPr>
          <w:rFonts w:ascii="Arial" w:cs="Arial" w:eastAsia="Arial" w:hAnsi="Arial"/>
          <w:color w:val="AAAAAA"/>
          <w:sz w:val="18"/>
          <w:szCs w:val="18"/>
        </w:rPr>
        <w:t xml:space="preserve">Bewertet die Qualität eines Rücksetzers im Aufwärtstrend. Niedriger Risk-Score bei Dip = optimale Kaufbedingung für Dip-Buy-Strategie.</w:t>
      </w:r>
    </w:p>
    <w:p>
      <w:pPr>
        <w:spacing w:after="60" w:before="240"/>
      </w:pPr>
      <w:r>
        <w:rPr>
          <w:rFonts w:ascii="Arial" w:cs="Arial" w:eastAsia="Arial" w:hAnsi="Arial"/>
          <w:b/>
          <w:bCs/>
          <w:color w:val="00FFAA"/>
          <w:sz w:val="22"/>
          <w:szCs w:val="22"/>
        </w:rPr>
        <w:t xml:space="preserve">▸  Anti-Cyclic</w:t>
      </w:r>
    </w:p>
    <w:p>
      <w:pPr>
        <w:spacing w:after="60"/>
        <w:ind w:left="360"/>
      </w:pPr>
      <w:r>
        <w:rPr>
          <w:rFonts w:ascii="Arial" w:cs="Arial" w:eastAsia="Arial" w:hAnsi="Arial"/>
          <w:b/>
          <w:bCs/>
          <w:color w:val="C7A05A"/>
          <w:sz w:val="18"/>
          <w:szCs w:val="18"/>
        </w:rPr>
        <w:t xml:space="preserve">Links: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Anti-Score 0–10</w:t>
      </w:r>
      <w:r>
        <w:rPr>
          <w:rFonts w:ascii="Arial" w:cs="Arial" w:eastAsia="Arial" w:hAnsi="Arial"/>
          <w:color w:val="6B7A99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5A87B8"/>
          <w:sz w:val="18"/>
          <w:szCs w:val="18"/>
        </w:rPr>
        <w:t xml:space="preserve">Rechts: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SL/TP bei Entry</w:t>
      </w:r>
    </w:p>
    <w:p>
      <w:pPr>
        <w:spacing w:after="160"/>
        <w:ind w:left="360"/>
      </w:pPr>
      <w:r>
        <w:rPr>
          <w:rFonts w:ascii="Arial" w:cs="Arial" w:eastAsia="Arial" w:hAnsi="Arial"/>
          <w:color w:val="AAAAAA"/>
          <w:sz w:val="18"/>
          <w:szCs w:val="18"/>
        </w:rPr>
        <w:t xml:space="preserve">Der Anti-Cyclic Score bewertet antizyklische Kaufopportunitäten (überverkaufte Extreme mit Divergenz). Score ≥5 mit RSI &lt;40 und Bullischer Divergenz = Anti-Entry.</w:t>
      </w:r>
    </w:p>
    <w:p>
      <w:pPr>
        <w:spacing w:after="60" w:before="240"/>
      </w:pPr>
      <w:r>
        <w:rPr>
          <w:rFonts w:ascii="Arial" w:cs="Arial" w:eastAsia="Arial" w:hAnsi="Arial"/>
          <w:b/>
          <w:bCs/>
          <w:color w:val="00FFAA"/>
          <w:sz w:val="22"/>
          <w:szCs w:val="22"/>
        </w:rPr>
        <w:t xml:space="preserve">▸  Stoch / CCI / %R</w:t>
      </w:r>
    </w:p>
    <w:p>
      <w:pPr>
        <w:spacing w:after="60"/>
        <w:ind w:left="360"/>
      </w:pPr>
      <w:r>
        <w:rPr>
          <w:rFonts w:ascii="Arial" w:cs="Arial" w:eastAsia="Arial" w:hAnsi="Arial"/>
          <w:b/>
          <w:bCs/>
          <w:color w:val="C7A05A"/>
          <w:sz w:val="18"/>
          <w:szCs w:val="18"/>
        </w:rPr>
        <w:t xml:space="preserve">Links: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Stochastic RSI + CCI</w:t>
      </w:r>
      <w:r>
        <w:rPr>
          <w:rFonts w:ascii="Arial" w:cs="Arial" w:eastAsia="Arial" w:hAnsi="Arial"/>
          <w:color w:val="6B7A99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5A87B8"/>
          <w:sz w:val="18"/>
          <w:szCs w:val="18"/>
        </w:rPr>
        <w:t xml:space="preserve">Rechts: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Williams %R</w:t>
      </w:r>
    </w:p>
    <w:p>
      <w:pPr>
        <w:spacing w:after="160"/>
        <w:ind w:left="360"/>
      </w:pPr>
      <w:r>
        <w:rPr>
          <w:rFonts w:ascii="Arial" w:cs="Arial" w:eastAsia="Arial" w:hAnsi="Arial"/>
          <w:color w:val="AAAAAA"/>
          <w:sz w:val="18"/>
          <w:szCs w:val="18"/>
        </w:rPr>
        <w:t xml:space="preserve">Drei Oszillatoren für Overbought/Oversold-Analyse. Stoch &gt;80 = überkauft. CCI &gt;100 = überkauft. %R &lt; -80 = überverkauft. Rot bei allen dreien = starkes Warnsignal.</w:t>
      </w:r>
    </w:p>
    <w:p>
      <w:pPr>
        <w:spacing w:after="60" w:before="240"/>
      </w:pPr>
      <w:r>
        <w:rPr>
          <w:rFonts w:ascii="Arial" w:cs="Arial" w:eastAsia="Arial" w:hAnsi="Arial"/>
          <w:b/>
          <w:bCs/>
          <w:color w:val="00FFAA"/>
          <w:sz w:val="22"/>
          <w:szCs w:val="22"/>
        </w:rPr>
        <w:t xml:space="preserve">▸  Bar Quality</w:t>
      </w:r>
    </w:p>
    <w:p>
      <w:pPr>
        <w:spacing w:after="60"/>
        <w:ind w:left="360"/>
      </w:pPr>
      <w:r>
        <w:rPr>
          <w:rFonts w:ascii="Arial" w:cs="Arial" w:eastAsia="Arial" w:hAnsi="Arial"/>
          <w:b/>
          <w:bCs/>
          <w:color w:val="C7A05A"/>
          <w:sz w:val="18"/>
          <w:szCs w:val="18"/>
        </w:rPr>
        <w:t xml:space="preserve">Links: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Kerzenqualität 0–100</w:t>
      </w:r>
      <w:r>
        <w:rPr>
          <w:rFonts w:ascii="Arial" w:cs="Arial" w:eastAsia="Arial" w:hAnsi="Arial"/>
          <w:color w:val="6B7A99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5A87B8"/>
          <w:sz w:val="18"/>
          <w:szCs w:val="18"/>
        </w:rPr>
        <w:t xml:space="preserve">Rechts: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Aktive Divergenz</w:t>
      </w:r>
    </w:p>
    <w:p>
      <w:pPr>
        <w:spacing w:after="160"/>
        <w:ind w:left="360"/>
      </w:pPr>
      <w:r>
        <w:rPr>
          <w:rFonts w:ascii="Arial" w:cs="Arial" w:eastAsia="Arial" w:hAnsi="Arial"/>
          <w:color w:val="AAAAAA"/>
          <w:sz w:val="18"/>
          <w:szCs w:val="18"/>
        </w:rPr>
        <w:t xml:space="preserve">Bewertet die aktuelle Kerze nach Kerzenmuster, Körper/Docht-Verhältnis und Platzierung im Tagesrange. Zeigt aktive RSI/MACD-Divergenzen an.</w:t>
      </w:r>
    </w:p>
    <w:p>
      <w:pPr>
        <w:spacing w:after="60" w:before="240"/>
      </w:pPr>
      <w:r>
        <w:rPr>
          <w:rFonts w:ascii="Arial" w:cs="Arial" w:eastAsia="Arial" w:hAnsi="Arial"/>
          <w:b/>
          <w:bCs/>
          <w:color w:val="00FFAA"/>
          <w:sz w:val="22"/>
          <w:szCs w:val="22"/>
        </w:rPr>
        <w:t xml:space="preserve">▸  Moving Averages</w:t>
      </w:r>
    </w:p>
    <w:p>
      <w:pPr>
        <w:spacing w:after="60"/>
        <w:ind w:left="360"/>
      </w:pPr>
      <w:r>
        <w:rPr>
          <w:rFonts w:ascii="Arial" w:cs="Arial" w:eastAsia="Arial" w:hAnsi="Arial"/>
          <w:b/>
          <w:bCs/>
          <w:color w:val="C7A05A"/>
          <w:sz w:val="18"/>
          <w:szCs w:val="18"/>
        </w:rPr>
        <w:t xml:space="preserve">Links: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EMA21 / SMA50 / SMA200 Richtung</w:t>
      </w:r>
      <w:r>
        <w:rPr>
          <w:rFonts w:ascii="Arial" w:cs="Arial" w:eastAsia="Arial" w:hAnsi="Arial"/>
          <w:color w:val="6B7A99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5A87B8"/>
          <w:sz w:val="18"/>
          <w:szCs w:val="18"/>
        </w:rPr>
        <w:t xml:space="preserve">Rechts: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Kurs vs. SMA200</w:t>
      </w:r>
    </w:p>
    <w:p>
      <w:pPr>
        <w:spacing w:after="160"/>
        <w:ind w:left="360"/>
      </w:pPr>
      <w:r>
        <w:rPr>
          <w:rFonts w:ascii="Arial" w:cs="Arial" w:eastAsia="Arial" w:hAnsi="Arial"/>
          <w:color w:val="AAAAAA"/>
          <w:sz w:val="18"/>
          <w:szCs w:val="18"/>
        </w:rPr>
        <w:t xml:space="preserve">Zeigt die Richtung (▲/▼/→) der drei wichtigsten Moving Averages. Ideal: EMA21 &gt; SMA50 &gt; SMA200, alle steigend. Kurs über SMA200 = Basis-Bullsignal.</w:t>
      </w:r>
    </w:p>
    <w:p>
      <w:pPr>
        <w:spacing w:after="60" w:before="240"/>
      </w:pPr>
      <w:r>
        <w:rPr>
          <w:rFonts w:ascii="Arial" w:cs="Arial" w:eastAsia="Arial" w:hAnsi="Arial"/>
          <w:b/>
          <w:bCs/>
          <w:color w:val="00FFAA"/>
          <w:sz w:val="22"/>
          <w:szCs w:val="22"/>
        </w:rPr>
        <w:t xml:space="preserve">▸  Market Structure</w:t>
      </w:r>
    </w:p>
    <w:p>
      <w:pPr>
        <w:spacing w:after="60"/>
        <w:ind w:left="360"/>
      </w:pPr>
      <w:r>
        <w:rPr>
          <w:rFonts w:ascii="Arial" w:cs="Arial" w:eastAsia="Arial" w:hAnsi="Arial"/>
          <w:b/>
          <w:bCs/>
          <w:color w:val="C7A05A"/>
          <w:sz w:val="18"/>
          <w:szCs w:val="18"/>
        </w:rPr>
        <w:t xml:space="preserve">Links: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SMC-Struktur (CHoCH/BOS/OB/FVG)</w:t>
      </w:r>
      <w:r>
        <w:rPr>
          <w:rFonts w:ascii="Arial" w:cs="Arial" w:eastAsia="Arial" w:hAnsi="Arial"/>
          <w:color w:val="6B7A99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5A87B8"/>
          <w:sz w:val="18"/>
          <w:szCs w:val="18"/>
        </w:rPr>
        <w:t xml:space="preserve">Rechts: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Confluence Score</w:t>
      </w:r>
    </w:p>
    <w:p>
      <w:pPr>
        <w:spacing w:after="160"/>
        <w:ind w:left="360"/>
      </w:pPr>
      <w:r>
        <w:rPr>
          <w:rFonts w:ascii="Arial" w:cs="Arial" w:eastAsia="Arial" w:hAnsi="Arial"/>
          <w:color w:val="AAAAAA"/>
          <w:sz w:val="18"/>
          <w:szCs w:val="18"/>
        </w:rPr>
        <w:t xml:space="preserve">Smart Money Concepts: CHoCH = Change of Character (Trendwende), BOS = Break of Structure (Fortsetzung), OB = Order Block, FVG = Fair Value Gap. Confluence Score 0–100 aggregiert alle SMC-Signale.</w:t>
      </w:r>
    </w:p>
    <w:p>
      <w:pPr>
        <w:spacing w:after="60" w:before="240"/>
      </w:pPr>
      <w:r>
        <w:rPr>
          <w:rFonts w:ascii="Arial" w:cs="Arial" w:eastAsia="Arial" w:hAnsi="Arial"/>
          <w:b/>
          <w:bCs/>
          <w:color w:val="00FFAA"/>
          <w:sz w:val="22"/>
          <w:szCs w:val="22"/>
        </w:rPr>
        <w:t xml:space="preserve">▸  Entry Zone</w:t>
      </w:r>
    </w:p>
    <w:p>
      <w:pPr>
        <w:spacing w:after="60"/>
        <w:ind w:left="360"/>
      </w:pPr>
      <w:r>
        <w:rPr>
          <w:rFonts w:ascii="Arial" w:cs="Arial" w:eastAsia="Arial" w:hAnsi="Arial"/>
          <w:b/>
          <w:bCs/>
          <w:color w:val="C7A05A"/>
          <w:sz w:val="18"/>
          <w:szCs w:val="18"/>
        </w:rPr>
        <w:t xml:space="preserve">Links: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Zonen-Status (Above / In / Below)</w:t>
      </w:r>
      <w:r>
        <w:rPr>
          <w:rFonts w:ascii="Arial" w:cs="Arial" w:eastAsia="Arial" w:hAnsi="Arial"/>
          <w:color w:val="6B7A99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5A87B8"/>
          <w:sz w:val="18"/>
          <w:szCs w:val="18"/>
        </w:rPr>
        <w:t xml:space="preserve">Rechts: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Zonenpreis-Bereich</w:t>
      </w:r>
    </w:p>
    <w:p>
      <w:pPr>
        <w:spacing w:after="160"/>
        <w:ind w:left="360"/>
      </w:pPr>
      <w:r>
        <w:rPr>
          <w:rFonts w:ascii="Arial" w:cs="Arial" w:eastAsia="Arial" w:hAnsi="Arial"/>
          <w:color w:val="AAAAAA"/>
          <w:sz w:val="18"/>
          <w:szCs w:val="18"/>
        </w:rPr>
        <w:t xml:space="preserve">Die Value Accumulation Zone (VAZ) markiert den optimalen Einstiegsbereich. "In zone" = ideale Position. "Above zone: wait" = zu teuer für neuen Einstieg.</w:t>
      </w:r>
    </w:p>
    <w:p>
      <w:pPr>
        <w:spacing w:after="60" w:before="240"/>
      </w:pPr>
      <w:r>
        <w:rPr>
          <w:rFonts w:ascii="Arial" w:cs="Arial" w:eastAsia="Arial" w:hAnsi="Arial"/>
          <w:b/>
          <w:bCs/>
          <w:color w:val="00FFAA"/>
          <w:sz w:val="22"/>
          <w:szCs w:val="22"/>
        </w:rPr>
        <w:t xml:space="preserve">▸  Elliott</w:t>
      </w:r>
    </w:p>
    <w:p>
      <w:pPr>
        <w:spacing w:after="60"/>
        <w:ind w:left="360"/>
      </w:pPr>
      <w:r>
        <w:rPr>
          <w:rFonts w:ascii="Arial" w:cs="Arial" w:eastAsia="Arial" w:hAnsi="Arial"/>
          <w:b/>
          <w:bCs/>
          <w:color w:val="C7A05A"/>
          <w:sz w:val="18"/>
          <w:szCs w:val="18"/>
        </w:rPr>
        <w:t xml:space="preserve">Links: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Aktuelle Wellenposition</w:t>
      </w:r>
      <w:r>
        <w:rPr>
          <w:rFonts w:ascii="Arial" w:cs="Arial" w:eastAsia="Arial" w:hAnsi="Arial"/>
          <w:color w:val="6B7A99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5A87B8"/>
          <w:sz w:val="18"/>
          <w:szCs w:val="18"/>
        </w:rPr>
        <w:t xml:space="preserve">Rechts: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Nächstes Kursziel</w:t>
      </w:r>
    </w:p>
    <w:p>
      <w:pPr>
        <w:spacing w:after="160"/>
        <w:ind w:left="360"/>
      </w:pPr>
      <w:r>
        <w:rPr>
          <w:rFonts w:ascii="Arial" w:cs="Arial" w:eastAsia="Arial" w:hAnsi="Arial"/>
          <w:color w:val="AAAAAA"/>
          <w:sz w:val="18"/>
          <w:szCs w:val="18"/>
        </w:rPr>
        <w:t xml:space="preserve">Automatische Elliott-Wellen-Erkennung. W1–W5 = Impulswellen, A/B/C = Korrekturwellen. Zeigt das projizierte Kursziel für die nächste Welle (Fibonacci-Extensions).</w:t>
      </w:r>
    </w:p>
    <w:p>
      <w:pPr>
        <w:spacing w:after="60" w:before="240"/>
      </w:pPr>
      <w:r>
        <w:rPr>
          <w:rFonts w:ascii="Arial" w:cs="Arial" w:eastAsia="Arial" w:hAnsi="Arial"/>
          <w:b/>
          <w:bCs/>
          <w:color w:val="00FFAA"/>
          <w:sz w:val="22"/>
          <w:szCs w:val="22"/>
        </w:rPr>
        <w:t xml:space="preserve">▸  52W High/Low</w:t>
      </w:r>
    </w:p>
    <w:p>
      <w:pPr>
        <w:spacing w:after="60"/>
        <w:ind w:left="360"/>
      </w:pPr>
      <w:r>
        <w:rPr>
          <w:rFonts w:ascii="Arial" w:cs="Arial" w:eastAsia="Arial" w:hAnsi="Arial"/>
          <w:b/>
          <w:bCs/>
          <w:color w:val="C7A05A"/>
          <w:sz w:val="18"/>
          <w:szCs w:val="18"/>
        </w:rPr>
        <w:t xml:space="preserve">Links: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Abstand vom 52W-Hoch in %</w:t>
      </w:r>
      <w:r>
        <w:rPr>
          <w:rFonts w:ascii="Arial" w:cs="Arial" w:eastAsia="Arial" w:hAnsi="Arial"/>
          <w:color w:val="6B7A99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5A87B8"/>
          <w:sz w:val="18"/>
          <w:szCs w:val="18"/>
        </w:rPr>
        <w:t xml:space="preserve">Rechts: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Abstand vom 52W-Tief in %</w:t>
      </w:r>
    </w:p>
    <w:p>
      <w:pPr>
        <w:spacing w:after="160"/>
        <w:ind w:left="360"/>
      </w:pPr>
      <w:r>
        <w:rPr>
          <w:rFonts w:ascii="Arial" w:cs="Arial" w:eastAsia="Arial" w:hAnsi="Arial"/>
          <w:color w:val="AAAAAA"/>
          <w:sz w:val="18"/>
          <w:szCs w:val="18"/>
        </w:rPr>
        <w:t xml:space="preserve">Zeigt die Positionierung im 52-Wochen-Range. Innerhalb von 2% vom Hoch = ATH-Block aktiv (blockiert A+ und A++). Weit vom Tief = günstiger Einstieg möglich.</w:t>
      </w:r>
    </w:p>
    <w:p>
      <w:pPr>
        <w:spacing w:after="60" w:before="240"/>
      </w:pPr>
      <w:r>
        <w:rPr>
          <w:rFonts w:ascii="Arial" w:cs="Arial" w:eastAsia="Arial" w:hAnsi="Arial"/>
          <w:b/>
          <w:bCs/>
          <w:color w:val="00FFAA"/>
          <w:sz w:val="22"/>
          <w:szCs w:val="22"/>
        </w:rPr>
        <w:t xml:space="preserve">▸  Anti Detail</w:t>
      </w:r>
    </w:p>
    <w:p>
      <w:pPr>
        <w:spacing w:after="60"/>
        <w:ind w:left="360"/>
      </w:pPr>
      <w:r>
        <w:rPr>
          <w:rFonts w:ascii="Arial" w:cs="Arial" w:eastAsia="Arial" w:hAnsi="Arial"/>
          <w:b/>
          <w:bCs/>
          <w:color w:val="C7A05A"/>
          <w:sz w:val="18"/>
          <w:szCs w:val="18"/>
        </w:rPr>
        <w:t xml:space="preserve">Links: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Anti-Score-Komponenten</w:t>
      </w:r>
      <w:r>
        <w:rPr>
          <w:rFonts w:ascii="Arial" w:cs="Arial" w:eastAsia="Arial" w:hAnsi="Arial"/>
          <w:color w:val="6B7A99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5A87B8"/>
          <w:sz w:val="18"/>
          <w:szCs w:val="18"/>
        </w:rPr>
        <w:t xml:space="preserve">Rechts: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Divergenz-Details</w:t>
      </w:r>
    </w:p>
    <w:p>
      <w:pPr>
        <w:spacing w:after="160"/>
        <w:ind w:left="360"/>
      </w:pPr>
      <w:r>
        <w:rPr>
          <w:rFonts w:ascii="Arial" w:cs="Arial" w:eastAsia="Arial" w:hAnsi="Arial"/>
          <w:color w:val="AAAAAA"/>
          <w:sz w:val="18"/>
          <w:szCs w:val="18"/>
        </w:rPr>
        <w:t xml:space="preserve">Detailansicht des Anti-Cyclic Scores: RSI-Divergenz, MACD-Divergenz, Wyckoff-Phase, Oversold-Niveau.</w:t>
      </w:r>
    </w:p>
    <w:p>
      <w:pPr>
        <w:spacing w:after="60" w:before="240"/>
      </w:pPr>
      <w:r>
        <w:rPr>
          <w:rFonts w:ascii="Arial" w:cs="Arial" w:eastAsia="Arial" w:hAnsi="Arial"/>
          <w:b/>
          <w:bCs/>
          <w:color w:val="00FFAA"/>
          <w:sz w:val="22"/>
          <w:szCs w:val="22"/>
        </w:rPr>
        <w:t xml:space="preserve">▸  Portfolio Risk</w:t>
      </w:r>
    </w:p>
    <w:p>
      <w:pPr>
        <w:spacing w:after="60"/>
        <w:ind w:left="360"/>
      </w:pPr>
      <w:r>
        <w:rPr>
          <w:rFonts w:ascii="Arial" w:cs="Arial" w:eastAsia="Arial" w:hAnsi="Arial"/>
          <w:b/>
          <w:bCs/>
          <w:color w:val="C7A05A"/>
          <w:sz w:val="18"/>
          <w:szCs w:val="18"/>
        </w:rPr>
        <w:t xml:space="preserve">Links: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Gesamtrisiko in % des Depots</w:t>
      </w:r>
      <w:r>
        <w:rPr>
          <w:rFonts w:ascii="Arial" w:cs="Arial" w:eastAsia="Arial" w:hAnsi="Arial"/>
          <w:color w:val="6B7A99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5A87B8"/>
          <w:sz w:val="18"/>
          <w:szCs w:val="18"/>
        </w:rPr>
        <w:t xml:space="preserve">Rechts: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Status (OK / Warnung)</w:t>
      </w:r>
    </w:p>
    <w:p>
      <w:pPr>
        <w:spacing w:after="160"/>
        <w:ind w:left="360"/>
      </w:pPr>
      <w:r>
        <w:rPr>
          <w:rFonts w:ascii="Arial" w:cs="Arial" w:eastAsia="Arial" w:hAnsi="Arial"/>
          <w:color w:val="AAAAAA"/>
          <w:sz w:val="18"/>
          <w:szCs w:val="18"/>
        </w:rPr>
        <w:t xml:space="preserve">Aggregiert das Risiko aller offenen Positionen. Über 10% Gesamtrisiko = Warnung. Neue Trades werden in der Risikobewertung berücksichtigt.</w:t>
      </w:r>
    </w:p>
    <w:p>
      <w:pPr>
        <w:spacing w:after="60" w:before="240"/>
      </w:pPr>
      <w:r>
        <w:rPr>
          <w:rFonts w:ascii="Arial" w:cs="Arial" w:eastAsia="Arial" w:hAnsi="Arial"/>
          <w:b/>
          <w:bCs/>
          <w:color w:val="00FFAA"/>
          <w:sz w:val="22"/>
          <w:szCs w:val="22"/>
        </w:rPr>
        <w:t xml:space="preserve">▸  Budget</w:t>
      </w:r>
    </w:p>
    <w:p>
      <w:pPr>
        <w:spacing w:after="60"/>
        <w:ind w:left="360"/>
      </w:pPr>
      <w:r>
        <w:rPr>
          <w:rFonts w:ascii="Arial" w:cs="Arial" w:eastAsia="Arial" w:hAnsi="Arial"/>
          <w:b/>
          <w:bCs/>
          <w:color w:val="C7A05A"/>
          <w:sz w:val="18"/>
          <w:szCs w:val="18"/>
        </w:rPr>
        <w:t xml:space="preserve">Links: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Genutztes Budget in %</w:t>
      </w:r>
      <w:r>
        <w:rPr>
          <w:rFonts w:ascii="Arial" w:cs="Arial" w:eastAsia="Arial" w:hAnsi="Arial"/>
          <w:color w:val="6B7A99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5A87B8"/>
          <w:sz w:val="18"/>
          <w:szCs w:val="18"/>
        </w:rPr>
        <w:t xml:space="preserve">Rechts: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Verbleibendes Risikobudget</w:t>
      </w:r>
    </w:p>
    <w:p>
      <w:pPr>
        <w:spacing w:after="160"/>
        <w:ind w:left="360"/>
      </w:pPr>
      <w:r>
        <w:rPr>
          <w:rFonts w:ascii="Arial" w:cs="Arial" w:eastAsia="Arial" w:hAnsi="Arial"/>
          <w:color w:val="AAAAAA"/>
          <w:sz w:val="18"/>
          <w:szCs w:val="18"/>
        </w:rPr>
        <w:t xml:space="preserve">Zeigt wie viel des definierten Risikobudgets bereits eingesetzt ist. Basis für die Kelly-Positionsgrößenberechnung.</w:t>
      </w:r>
    </w:p>
    <w:p>
      <w:pPr>
        <w:spacing w:after="60" w:before="240"/>
      </w:pPr>
      <w:r>
        <w:rPr>
          <w:rFonts w:ascii="Arial" w:cs="Arial" w:eastAsia="Arial" w:hAnsi="Arial"/>
          <w:b/>
          <w:bCs/>
          <w:color w:val="00FFAA"/>
          <w:sz w:val="22"/>
          <w:szCs w:val="22"/>
        </w:rPr>
        <w:t xml:space="preserve">▸  Trade Approved?</w:t>
      </w:r>
    </w:p>
    <w:p>
      <w:pPr>
        <w:spacing w:after="60"/>
        <w:ind w:left="360"/>
      </w:pPr>
      <w:r>
        <w:rPr>
          <w:rFonts w:ascii="Arial" w:cs="Arial" w:eastAsia="Arial" w:hAnsi="Arial"/>
          <w:b/>
          <w:bCs/>
          <w:color w:val="C7A05A"/>
          <w:sz w:val="18"/>
          <w:szCs w:val="18"/>
        </w:rPr>
        <w:t xml:space="preserve">Links: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Freigabe (YES / NO / WAIT)</w:t>
      </w:r>
      <w:r>
        <w:rPr>
          <w:rFonts w:ascii="Arial" w:cs="Arial" w:eastAsia="Arial" w:hAnsi="Arial"/>
          <w:color w:val="6B7A99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5A87B8"/>
          <w:sz w:val="18"/>
          <w:szCs w:val="18"/>
        </w:rPr>
        <w:t xml:space="preserve">Rechts: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Kelly-Anteil in %</w:t>
      </w:r>
    </w:p>
    <w:p>
      <w:pPr>
        <w:spacing w:after="160"/>
        <w:ind w:left="360"/>
      </w:pPr>
      <w:r>
        <w:rPr>
          <w:rFonts w:ascii="Arial" w:cs="Arial" w:eastAsia="Arial" w:hAnsi="Arial"/>
          <w:color w:val="AAAAAA"/>
          <w:sz w:val="18"/>
          <w:szCs w:val="18"/>
        </w:rPr>
        <w:t xml:space="preserve">Zusammenfassung aller Sicherheitsprüfungen. YES = alle Bedingungen erfüllt, Trade freigegeben. NO = mindestens eine Bedingung nicht erfüllt. Zeigt den Kelly-optimalen Einsatz in % des Depots.</w:t>
      </w:r>
    </w:p>
    <w:p>
      <w:pPr>
        <w:spacing w:after="60" w:before="240"/>
      </w:pPr>
      <w:r>
        <w:rPr>
          <w:rFonts w:ascii="Arial" w:cs="Arial" w:eastAsia="Arial" w:hAnsi="Arial"/>
          <w:b/>
          <w:bCs/>
          <w:color w:val="00FFAA"/>
          <w:sz w:val="22"/>
          <w:szCs w:val="22"/>
        </w:rPr>
        <w:t xml:space="preserve">▸  SL/TP</w:t>
      </w:r>
    </w:p>
    <w:p>
      <w:pPr>
        <w:spacing w:after="60"/>
        <w:ind w:left="360"/>
      </w:pPr>
      <w:r>
        <w:rPr>
          <w:rFonts w:ascii="Arial" w:cs="Arial" w:eastAsia="Arial" w:hAnsi="Arial"/>
          <w:b/>
          <w:bCs/>
          <w:color w:val="C7A05A"/>
          <w:sz w:val="18"/>
          <w:szCs w:val="18"/>
        </w:rPr>
        <w:t xml:space="preserve">Links: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Stop-Loss-Niveau</w:t>
      </w:r>
      <w:r>
        <w:rPr>
          <w:rFonts w:ascii="Arial" w:cs="Arial" w:eastAsia="Arial" w:hAnsi="Arial"/>
          <w:color w:val="6B7A99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5A87B8"/>
          <w:sz w:val="18"/>
          <w:szCs w:val="18"/>
        </w:rPr>
        <w:t xml:space="preserve">Rechts: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Take-Profit-Niveau</w:t>
      </w:r>
    </w:p>
    <w:p>
      <w:pPr>
        <w:spacing w:after="160"/>
        <w:ind w:left="360"/>
      </w:pPr>
      <w:r>
        <w:rPr>
          <w:rFonts w:ascii="Arial" w:cs="Arial" w:eastAsia="Arial" w:hAnsi="Arial"/>
          <w:color w:val="AAAAAA"/>
          <w:sz w:val="18"/>
          <w:szCs w:val="18"/>
        </w:rPr>
        <w:t xml:space="preserve">ATR-basierter Stop-Loss (unterhalb des letzten Swing-Lows oder ATR-Vielfaches). Take-Profit basierend auf Fibonacci-Extensions oder fixen R:R-Multiplikatoren.</w:t>
      </w:r>
    </w:p>
    <w:p>
      <w:pPr>
        <w:spacing w:after="60" w:before="240"/>
      </w:pPr>
      <w:r>
        <w:rPr>
          <w:rFonts w:ascii="Arial" w:cs="Arial" w:eastAsia="Arial" w:hAnsi="Arial"/>
          <w:b/>
          <w:bCs/>
          <w:color w:val="00FFAA"/>
          <w:sz w:val="22"/>
          <w:szCs w:val="22"/>
        </w:rPr>
        <w:t xml:space="preserve">▸  Trailing Stop</w:t>
      </w:r>
    </w:p>
    <w:p>
      <w:pPr>
        <w:spacing w:after="60"/>
        <w:ind w:left="360"/>
      </w:pPr>
      <w:r>
        <w:rPr>
          <w:rFonts w:ascii="Arial" w:cs="Arial" w:eastAsia="Arial" w:hAnsi="Arial"/>
          <w:b/>
          <w:bCs/>
          <w:color w:val="C7A05A"/>
          <w:sz w:val="18"/>
          <w:szCs w:val="18"/>
        </w:rPr>
        <w:t xml:space="preserve">Links: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Trailing Stop-Niveau</w:t>
      </w:r>
      <w:r>
        <w:rPr>
          <w:rFonts w:ascii="Arial" w:cs="Arial" w:eastAsia="Arial" w:hAnsi="Arial"/>
          <w:color w:val="6B7A99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5A87B8"/>
          <w:sz w:val="18"/>
          <w:szCs w:val="18"/>
        </w:rPr>
        <w:t xml:space="preserve">Rechts: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Methode</w:t>
      </w:r>
    </w:p>
    <w:p>
      <w:pPr>
        <w:spacing w:after="160"/>
        <w:ind w:left="360"/>
      </w:pPr>
      <w:r>
        <w:rPr>
          <w:rFonts w:ascii="Arial" w:cs="Arial" w:eastAsia="Arial" w:hAnsi="Arial"/>
          <w:color w:val="AAAAAA"/>
          <w:sz w:val="18"/>
          <w:szCs w:val="18"/>
        </w:rPr>
        <w:t xml:space="preserve">Dynamischer Stop-Loss der mit dem Kurs steigt. PSAR = Parabolic SAR-basiert, ATR = Average True Range-basiert.</w:t>
      </w:r>
    </w:p>
    <w:p>
      <w:pPr>
        <w:spacing w:after="60" w:before="240"/>
      </w:pPr>
      <w:r>
        <w:rPr>
          <w:rFonts w:ascii="Arial" w:cs="Arial" w:eastAsia="Arial" w:hAnsi="Arial"/>
          <w:b/>
          <w:bCs/>
          <w:color w:val="00FFAA"/>
          <w:sz w:val="22"/>
          <w:szCs w:val="22"/>
        </w:rPr>
        <w:t xml:space="preserve">▸  Size</w:t>
      </w:r>
    </w:p>
    <w:p>
      <w:pPr>
        <w:spacing w:after="60"/>
        <w:ind w:left="360"/>
      </w:pPr>
      <w:r>
        <w:rPr>
          <w:rFonts w:ascii="Arial" w:cs="Arial" w:eastAsia="Arial" w:hAnsi="Arial"/>
          <w:b/>
          <w:bCs/>
          <w:color w:val="C7A05A"/>
          <w:sz w:val="18"/>
          <w:szCs w:val="18"/>
        </w:rPr>
        <w:t xml:space="preserve">Links: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Stückzahl + % des Depots</w:t>
      </w:r>
      <w:r>
        <w:rPr>
          <w:rFonts w:ascii="Arial" w:cs="Arial" w:eastAsia="Arial" w:hAnsi="Arial"/>
          <w:color w:val="6B7A99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5A87B8"/>
          <w:sz w:val="18"/>
          <w:szCs w:val="18"/>
        </w:rPr>
        <w:t xml:space="preserve">Rechts: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Risikolabel</w:t>
      </w:r>
    </w:p>
    <w:p>
      <w:pPr>
        <w:spacing w:after="160"/>
        <w:ind w:left="360"/>
      </w:pPr>
      <w:r>
        <w:rPr>
          <w:rFonts w:ascii="Arial" w:cs="Arial" w:eastAsia="Arial" w:hAnsi="Arial"/>
          <w:color w:val="AAAAAA"/>
          <w:sz w:val="18"/>
          <w:szCs w:val="18"/>
        </w:rPr>
        <w:t xml:space="preserve">Die optimale Positionsgröße basierend auf Kelly-Kriterium (halbes Kelly), ATR-Stop und definiertem Depotbudget. Zeigt Stückzahl und prozentualen Depoteinsatz.</w:t>
      </w:r>
    </w:p>
    <w:p>
      <w:pPr>
        <w:spacing w:after="60" w:before="240"/>
      </w:pPr>
      <w:r>
        <w:rPr>
          <w:rFonts w:ascii="Arial" w:cs="Arial" w:eastAsia="Arial" w:hAnsi="Arial"/>
          <w:b/>
          <w:bCs/>
          <w:color w:val="00FFAA"/>
          <w:sz w:val="22"/>
          <w:szCs w:val="22"/>
        </w:rPr>
        <w:t xml:space="preserve">▸  P&amp;L</w:t>
      </w:r>
    </w:p>
    <w:p>
      <w:pPr>
        <w:spacing w:after="60"/>
        <w:ind w:left="360"/>
      </w:pPr>
      <w:r>
        <w:rPr>
          <w:rFonts w:ascii="Arial" w:cs="Arial" w:eastAsia="Arial" w:hAnsi="Arial"/>
          <w:b/>
          <w:bCs/>
          <w:color w:val="C7A05A"/>
          <w:sz w:val="18"/>
          <w:szCs w:val="18"/>
        </w:rPr>
        <w:t xml:space="preserve">Links: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Potenzieller Gewinn in €</w:t>
      </w:r>
      <w:r>
        <w:rPr>
          <w:rFonts w:ascii="Arial" w:cs="Arial" w:eastAsia="Arial" w:hAnsi="Arial"/>
          <w:color w:val="6B7A99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5A87B8"/>
          <w:sz w:val="18"/>
          <w:szCs w:val="18"/>
        </w:rPr>
        <w:t xml:space="preserve">Rechts: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Potenzieller Verlust in €</w:t>
      </w:r>
    </w:p>
    <w:p>
      <w:pPr>
        <w:spacing w:after="160"/>
        <w:ind w:left="360"/>
      </w:pPr>
      <w:r>
        <w:rPr>
          <w:rFonts w:ascii="Arial" w:cs="Arial" w:eastAsia="Arial" w:hAnsi="Arial"/>
          <w:color w:val="AAAAAA"/>
          <w:sz w:val="18"/>
          <w:szCs w:val="18"/>
        </w:rPr>
        <w:t xml:space="preserve">Zeigt den erwarteten Gewinn (bei TP1) und den maximalen Verlust (bei SL) in Währungseinheiten basierend auf der berechneten Positionsgröße.</w:t>
      </w:r>
    </w:p>
    <w:p>
      <w:pPr>
        <w:spacing w:after="60" w:before="240"/>
      </w:pPr>
      <w:r>
        <w:rPr>
          <w:rFonts w:ascii="Arial" w:cs="Arial" w:eastAsia="Arial" w:hAnsi="Arial"/>
          <w:b/>
          <w:bCs/>
          <w:color w:val="00FFAA"/>
          <w:sz w:val="22"/>
          <w:szCs w:val="22"/>
        </w:rPr>
        <w:t xml:space="preserve">▸  Stop-Loss Quality</w:t>
      </w:r>
    </w:p>
    <w:p>
      <w:pPr>
        <w:spacing w:after="60"/>
        <w:ind w:left="360"/>
      </w:pPr>
      <w:r>
        <w:rPr>
          <w:rFonts w:ascii="Arial" w:cs="Arial" w:eastAsia="Arial" w:hAnsi="Arial"/>
          <w:b/>
          <w:bCs/>
          <w:color w:val="C7A05A"/>
          <w:sz w:val="18"/>
          <w:szCs w:val="18"/>
        </w:rPr>
        <w:t xml:space="preserve">Links: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SL-Qualitätsbewertung</w:t>
      </w:r>
      <w:r>
        <w:rPr>
          <w:rFonts w:ascii="Arial" w:cs="Arial" w:eastAsia="Arial" w:hAnsi="Arial"/>
          <w:color w:val="6B7A99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5A87B8"/>
          <w:sz w:val="18"/>
          <w:szCs w:val="18"/>
        </w:rPr>
        <w:t xml:space="preserve">Rechts: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Details</w:t>
      </w:r>
    </w:p>
    <w:p>
      <w:pPr>
        <w:spacing w:after="160"/>
        <w:ind w:left="360"/>
      </w:pPr>
      <w:r>
        <w:rPr>
          <w:rFonts w:ascii="Arial" w:cs="Arial" w:eastAsia="Arial" w:hAnsi="Arial"/>
          <w:color w:val="AAAAAA"/>
          <w:sz w:val="18"/>
          <w:szCs w:val="18"/>
        </w:rPr>
        <w:t xml:space="preserve">Bewertet ob der aktuelle Stop-Loss sinnvoll platziert ist (hinter Swing-Low, ausreichend Abstand, nicht zu weit).</w:t>
      </w:r>
    </w:p>
    <w:p>
      <w:pPr>
        <w:spacing w:after="60" w:before="240"/>
      </w:pPr>
      <w:r>
        <w:rPr>
          <w:rFonts w:ascii="Arial" w:cs="Arial" w:eastAsia="Arial" w:hAnsi="Arial"/>
          <w:b/>
          <w:bCs/>
          <w:color w:val="00FFAA"/>
          <w:sz w:val="22"/>
          <w:szCs w:val="22"/>
        </w:rPr>
        <w:t xml:space="preserve">▸  Bottoming Signal</w:t>
      </w:r>
    </w:p>
    <w:p>
      <w:pPr>
        <w:spacing w:after="60"/>
        <w:ind w:left="360"/>
      </w:pPr>
      <w:r>
        <w:rPr>
          <w:rFonts w:ascii="Arial" w:cs="Arial" w:eastAsia="Arial" w:hAnsi="Arial"/>
          <w:b/>
          <w:bCs/>
          <w:color w:val="C7A05A"/>
          <w:sz w:val="18"/>
          <w:szCs w:val="18"/>
        </w:rPr>
        <w:t xml:space="preserve">Links: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Bottom Score 0–14 + Typ</w:t>
      </w:r>
      <w:r>
        <w:rPr>
          <w:rFonts w:ascii="Arial" w:cs="Arial" w:eastAsia="Arial" w:hAnsi="Arial"/>
          <w:color w:val="6B7A99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5A87B8"/>
          <w:sz w:val="18"/>
          <w:szCs w:val="18"/>
        </w:rPr>
        <w:t xml:space="preserve">Rechts: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Konfidenz + Phase</w:t>
      </w:r>
    </w:p>
    <w:p>
      <w:pPr>
        <w:spacing w:after="160"/>
        <w:ind w:left="360"/>
      </w:pPr>
      <w:r>
        <w:rPr>
          <w:rFonts w:ascii="Arial" w:cs="Arial" w:eastAsia="Arial" w:hAnsi="Arial"/>
          <w:color w:val="AAAAAA"/>
          <w:sz w:val="18"/>
          <w:szCs w:val="18"/>
        </w:rPr>
        <w:t xml:space="preserve">Erkennt Bodenbildungsprozesse in 3 Phasen: Phase 1 = erste Signale, Phase 2 = bestätigt, Phase 2.5 = Retest erfolgreich. Score ≥4 zeigt Bottom-Linie im Chart.</w:t>
      </w:r>
    </w:p>
    <w:p>
      <w:pPr>
        <w:spacing w:after="60" w:before="240"/>
      </w:pPr>
      <w:r>
        <w:rPr>
          <w:rFonts w:ascii="Arial" w:cs="Arial" w:eastAsia="Arial" w:hAnsi="Arial"/>
          <w:b/>
          <w:bCs/>
          <w:color w:val="00FFAA"/>
          <w:sz w:val="22"/>
          <w:szCs w:val="22"/>
        </w:rPr>
        <w:t xml:space="preserve">▸  Criteria</w:t>
      </w:r>
    </w:p>
    <w:p>
      <w:pPr>
        <w:spacing w:after="60"/>
        <w:ind w:left="360"/>
      </w:pPr>
      <w:r>
        <w:rPr>
          <w:rFonts w:ascii="Arial" w:cs="Arial" w:eastAsia="Arial" w:hAnsi="Arial"/>
          <w:b/>
          <w:bCs/>
          <w:color w:val="C7A05A"/>
          <w:sz w:val="18"/>
          <w:szCs w:val="18"/>
        </w:rPr>
        <w:t xml:space="preserve">Links: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Erfüllte Bottom-Kriterien</w:t>
      </w:r>
      <w:r>
        <w:rPr>
          <w:rFonts w:ascii="Arial" w:cs="Arial" w:eastAsia="Arial" w:hAnsi="Arial"/>
          <w:color w:val="6B7A99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5A87B8"/>
          <w:sz w:val="18"/>
          <w:szCs w:val="18"/>
        </w:rPr>
        <w:t xml:space="preserve">Rechts: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Anzahl</w:t>
      </w:r>
    </w:p>
    <w:p>
      <w:pPr>
        <w:spacing w:after="160"/>
        <w:ind w:left="360"/>
      </w:pPr>
      <w:r>
        <w:rPr>
          <w:rFonts w:ascii="Arial" w:cs="Arial" w:eastAsia="Arial" w:hAnsi="Arial"/>
          <w:color w:val="AAAAAA"/>
          <w:sz w:val="18"/>
          <w:szCs w:val="18"/>
        </w:rPr>
        <w:t xml:space="preserve">Listet welche der 14 Bottom-Kriterien aktuell erfüllt sind (Volumenmuster, Divergenzen, Wyckoff-Signale, etc.).</w:t>
      </w:r>
    </w:p>
    <w:p>
      <w:pPr>
        <w:spacing w:after="60" w:before="240"/>
      </w:pPr>
      <w:r>
        <w:rPr>
          <w:rFonts w:ascii="Arial" w:cs="Arial" w:eastAsia="Arial" w:hAnsi="Arial"/>
          <w:b/>
          <w:bCs/>
          <w:color w:val="00FFAA"/>
          <w:sz w:val="22"/>
          <w:szCs w:val="22"/>
        </w:rPr>
        <w:t xml:space="preserve">▸  Early Stage (B+)</w:t>
      </w:r>
    </w:p>
    <w:p>
      <w:pPr>
        <w:spacing w:after="60"/>
        <w:ind w:left="360"/>
      </w:pPr>
      <w:r>
        <w:rPr>
          <w:rFonts w:ascii="Arial" w:cs="Arial" w:eastAsia="Arial" w:hAnsi="Arial"/>
          <w:b/>
          <w:bCs/>
          <w:color w:val="C7A05A"/>
          <w:sz w:val="18"/>
          <w:szCs w:val="18"/>
        </w:rPr>
        <w:t xml:space="preserve">Links: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B+ Status</w:t>
      </w:r>
      <w:r>
        <w:rPr>
          <w:rFonts w:ascii="Arial" w:cs="Arial" w:eastAsia="Arial" w:hAnsi="Arial"/>
          <w:color w:val="6B7A99"/>
          <w:sz w:val="18"/>
          <w:szCs w:val="18"/>
        </w:rPr>
        <w:t xml:space="preserve">   |   </w:t>
      </w:r>
      <w:r>
        <w:rPr>
          <w:rFonts w:ascii="Arial" w:cs="Arial" w:eastAsia="Arial" w:hAnsi="Arial"/>
          <w:b/>
          <w:bCs/>
          <w:color w:val="5A87B8"/>
          <w:sz w:val="18"/>
          <w:szCs w:val="18"/>
        </w:rPr>
        <w:t xml:space="preserve">Rechts: </w:t>
      </w:r>
      <w:r>
        <w:rPr>
          <w:rFonts w:ascii="Arial" w:cs="Arial" w:eastAsia="Arial" w:hAnsi="Arial"/>
          <w:color w:val="CCCCCC"/>
          <w:sz w:val="18"/>
          <w:szCs w:val="18"/>
        </w:rPr>
        <w:t xml:space="preserve">RS + Momentum Details</w:t>
      </w:r>
    </w:p>
    <w:p>
      <w:pPr>
        <w:spacing w:after="160"/>
        <w:ind w:left="360"/>
      </w:pPr>
      <w:r>
        <w:rPr>
          <w:rFonts w:ascii="Arial" w:cs="Arial" w:eastAsia="Arial" w:hAnsi="Arial"/>
          <w:color w:val="AAAAAA"/>
          <w:sz w:val="18"/>
          <w:szCs w:val="18"/>
        </w:rPr>
        <w:t xml:space="preserve">Erkennt frühe Aufbau-Setups bevor ein vollständiges A-Grade entsteht. Zeigt ob RS Rating und Momentum die B+-Bedingungen erfüllen.</w:t>
      </w:r>
    </w:p>
    <w:p>
      <w:pPr>
        <w:spacing w:after="200"/>
      </w:pPr>
    </w:p>
    <w:p>
      <w:pPr>
        <w:pStyle w:val="Heading2"/>
        <w:spacing w:after="120" w:before="300"/>
      </w:pPr>
      <w:r>
        <w:rPr>
          <w:rFonts w:ascii="Arial" w:cs="Arial" w:eastAsia="Arial" w:hAnsi="Arial"/>
          <w:b/>
          <w:bCs/>
          <w:color w:val="C7A05A"/>
        </w:rPr>
        <w:t xml:space="preserve">8.5 Das Alert-System</w:t>
      </w:r>
    </w:p>
    <w:p>
      <w:pPr>
        <w:spacing w:after="140"/>
      </w:pPr>
      <w:r>
        <w:rPr>
          <w:rFonts w:ascii="Arial" w:cs="Arial" w:eastAsia="Arial" w:hAnsi="Arial"/>
          <w:color w:val="AAAAAA"/>
          <w:sz w:val="22"/>
          <w:szCs w:val="22"/>
        </w:rPr>
        <w:t xml:space="preserve">PineTrader enthält 6 vorkonfigurierte Alert-Typen die direkt auf dein Smartphone gepusht werden können.</w:t>
      </w:r>
    </w:p>
    <w:p>
      <w:pPr>
        <w:spacing w:after="120"/>
      </w:pP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shd w:fill="131C2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00FFAA"/>
                <w:sz w:val="18"/>
                <w:szCs w:val="18"/>
              </w:rPr>
              <w:t xml:space="preserve">Alert</w:t>
            </w:r>
          </w:p>
        </w:tc>
        <w:tc>
          <w:tcPr>
            <w:shd w:fill="131C2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00FFAA"/>
                <w:sz w:val="18"/>
                <w:szCs w:val="18"/>
              </w:rPr>
              <w:t xml:space="preserve">Auslöser</w:t>
            </w:r>
          </w:p>
        </w:tc>
        <w:tc>
          <w:tcPr>
            <w:shd w:fill="131C2B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00FFAA"/>
                <w:sz w:val="18"/>
                <w:szCs w:val="18"/>
              </w:rPr>
              <w:t xml:space="preserve">Empfohlene Aktion</w:t>
            </w:r>
          </w:p>
        </w:tc>
      </w:tr>
      <w:tr>
        <w:tc>
          <w:tcPr>
            <w:shd w:fill="0D111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DDDDDD"/>
                <w:sz w:val="18"/>
                <w:szCs w:val="18"/>
              </w:rPr>
              <w:t xml:space="preserve">BUY Signal</w:t>
            </w:r>
          </w:p>
        </w:tc>
        <w:tc>
          <w:tcPr>
            <w:shd w:fill="0D111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Vollständiges A/A+/A++ Buy-Signal ausgelöst</w:t>
            </w:r>
          </w:p>
        </w:tc>
        <w:tc>
          <w:tcPr>
            <w:shd w:fill="0D111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Sofort prüfen — möglicher Trade-Einstieg</w:t>
            </w:r>
          </w:p>
        </w:tc>
      </w:tr>
      <w:tr>
        <w:tc>
          <w:tcPr>
            <w:shd w:fill="11182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DDDDDD"/>
                <w:sz w:val="18"/>
                <w:szCs w:val="18"/>
              </w:rPr>
              <w:t xml:space="preserve">Acc/RS/Bottom/B+</w:t>
            </w:r>
          </w:p>
        </w:tc>
        <w:tc>
          <w:tcPr>
            <w:shd w:fill="11182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Starke Akkumulation, RS-Leader oder Bodenbildung</w:t>
            </w:r>
          </w:p>
        </w:tc>
        <w:tc>
          <w:tcPr>
            <w:shd w:fill="11182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Beobachtungsliste aktualisieren</w:t>
            </w:r>
          </w:p>
        </w:tc>
      </w:tr>
      <w:tr>
        <w:tc>
          <w:tcPr>
            <w:shd w:fill="0D111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DDDDDD"/>
                <w:sz w:val="18"/>
                <w:szCs w:val="18"/>
              </w:rPr>
              <w:t xml:space="preserve">Distribution/Struktur</w:t>
            </w:r>
          </w:p>
        </w:tc>
        <w:tc>
          <w:tcPr>
            <w:shd w:fill="0D111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Distribution ≥4 oder Strukturbruch erkannt</w:t>
            </w:r>
          </w:p>
        </w:tc>
        <w:tc>
          <w:tcPr>
            <w:shd w:fill="0D111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Offene Positionen prüfen</w:t>
            </w:r>
          </w:p>
        </w:tc>
      </w:tr>
      <w:tr>
        <w:tc>
          <w:tcPr>
            <w:shd w:fill="11182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DDDDDD"/>
                <w:sz w:val="18"/>
                <w:szCs w:val="18"/>
              </w:rPr>
              <w:t xml:space="preserve">NMPE High</w:t>
            </w:r>
          </w:p>
        </w:tc>
        <w:tc>
          <w:tcPr>
            <w:shd w:fill="11182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NMPE Bullisch ≥70% ohne A-Grade</w:t>
            </w:r>
          </w:p>
        </w:tc>
        <w:tc>
          <w:tcPr>
            <w:shd w:fill="11182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Setup im Aufbau — beobachten</w:t>
            </w:r>
          </w:p>
        </w:tc>
      </w:tr>
      <w:tr>
        <w:tc>
          <w:tcPr>
            <w:shd w:fill="0D111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DDDDDD"/>
                <w:sz w:val="18"/>
                <w:szCs w:val="18"/>
              </w:rPr>
              <w:t xml:space="preserve">Trade Signal</w:t>
            </w:r>
          </w:p>
        </w:tc>
        <w:tc>
          <w:tcPr>
            <w:shd w:fill="0D111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BUY / EXIT / WARN / SHORT kombiniert</w:t>
            </w:r>
          </w:p>
        </w:tc>
        <w:tc>
          <w:tcPr>
            <w:shd w:fill="0D1117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Allgemeiner Signal-Alert</w:t>
            </w:r>
          </w:p>
        </w:tc>
      </w:tr>
      <w:tr>
        <w:tc>
          <w:tcPr>
            <w:shd w:fill="11182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DDDDDD"/>
                <w:sz w:val="18"/>
                <w:szCs w:val="18"/>
              </w:rPr>
              <w:t xml:space="preserve">Score/Momentum</w:t>
            </w:r>
          </w:p>
        </w:tc>
        <w:tc>
          <w:tcPr>
            <w:shd w:fill="11182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Score-Schwelle überschritten</w:t>
            </w:r>
          </w:p>
        </w:tc>
        <w:tc>
          <w:tcPr>
            <w:shd w:fill="11182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color w:val="AAAAAA"/>
                <w:sz w:val="18"/>
                <w:szCs w:val="18"/>
              </w:rPr>
              <w:t xml:space="preserve">Für Score-basierte Workflows</w:t>
            </w:r>
          </w:p>
        </w:tc>
      </w:tr>
    </w:tbl>
    <w:p>
      <w:pPr>
        <w:spacing w:after="300"/>
      </w:pPr>
    </w:p>
    <w:p>
      <w:r>
        <w:br w:type="page"/>
      </w:r>
    </w:p>
    <w:p>
      <w:pPr>
        <w:pStyle w:val="Heading1"/>
        <w:spacing w:after="120" w:before="300"/>
      </w:pPr>
      <w:r>
        <w:rPr>
          <w:rFonts w:ascii="Arial" w:cs="Arial" w:eastAsia="Arial" w:hAnsi="Arial"/>
          <w:b/>
          <w:bCs/>
          <w:color w:val="00FFAA"/>
        </w:rPr>
        <w:t xml:space="preserve">TEIL IX: DER TÄGLICHE TRADING-PROZESS</w:t>
      </w:r>
    </w:p>
    <w:p>
      <w:pPr>
        <w:pStyle w:val="Heading2"/>
        <w:spacing w:after="120" w:before="300"/>
      </w:pPr>
      <w:r>
        <w:rPr>
          <w:rFonts w:ascii="Arial" w:cs="Arial" w:eastAsia="Arial" w:hAnsi="Arial"/>
          <w:b/>
          <w:bCs/>
          <w:color w:val="C7A05A"/>
        </w:rPr>
        <w:t xml:space="preserve">9.1 Der tägliche Trading-Workflow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0"/>
          <w:left w:type="dxa" w:w="0"/>
          <w:bottom w:type="dxa" w:w="0"/>
          <w:right w:type="dxa" w:w="0"/>
        </w:tblCellMar>
      </w:tblPr>
      <w:tblGrid>
        <w:gridCol w:w="100"/>
      </w:tblGrid>
      <w:tr>
        <w:tc>
          <w:tcPr>
            <w:tcW w:type="dxa" w:w="9200"/>
            <w:tcBorders>
              <w:top w:val="single" w:color="00FFAA" w:sz="4"/>
              <w:left w:val="single" w:color="00FFAA" w:sz="4"/>
              <w:bottom w:val="single" w:color="00FFAA" w:sz="4"/>
              <w:right w:val="single" w:color="00FFAA" w:sz="4"/>
            </w:tcBorders>
            <w:shd w:fill="0D2A1E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r>
              <w:rPr>
                <w:rFonts w:ascii="Arial" w:cs="Arial" w:eastAsia="Arial" w:hAnsi="Arial"/>
                <w:b/>
                <w:bCs/>
                <w:color w:val="00FFAA"/>
                <w:sz w:val="20"/>
                <w:szCs w:val="20"/>
              </w:rPr>
              <w:t xml:space="preserve">Morgen-Routine (15–30 Min.)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color w:val="CCCCCC"/>
                <w:sz w:val="18"/>
                <w:szCs w:val="18"/>
              </w:rPr>
              <w:t xml:space="preserve">1. Marktregime prüfen — Bull/Bear/Chop?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color w:val="CCCCCC"/>
                <w:sz w:val="18"/>
                <w:szCs w:val="18"/>
              </w:rPr>
              <w:t xml:space="preserve">2. Watchlist scannen — welche Setups haben A/B+ Rating?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color w:val="CCCCCC"/>
                <w:sz w:val="18"/>
                <w:szCs w:val="18"/>
              </w:rPr>
              <w:t xml:space="preserve">3. Distribution Score prüfen — Warnsignale?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color w:val="CCCCCC"/>
                <w:sz w:val="18"/>
                <w:szCs w:val="18"/>
              </w:rPr>
              <w:t xml:space="preserve">4. Positionsgrößen berechnen — Kelly-Empfehlung beachten</w:t>
            </w:r>
          </w:p>
          <w:p>
            <w:pPr>
              <w:spacing w:after="60"/>
            </w:pPr>
            <w:r>
              <w:rPr>
                <w:rFonts w:ascii="Arial" w:cs="Arial" w:eastAsia="Arial" w:hAnsi="Arial"/>
                <w:color w:val="CCCCCC"/>
                <w:sz w:val="18"/>
                <w:szCs w:val="18"/>
              </w:rPr>
              <w:t xml:space="preserve">5. Alerts kontrollieren — neue Signale seit gestern?</w:t>
            </w:r>
          </w:p>
        </w:tc>
      </w:tr>
    </w:tbl>
    <w:p>
      <w:pPr>
        <w:spacing w:after="200"/>
      </w:pPr>
    </w:p>
    <w:p>
      <w:r>
        <w:br w:type="page"/>
      </w:r>
    </w:p>
    <w:p>
      <w:pPr>
        <w:pStyle w:val="Heading1"/>
        <w:spacing w:after="120" w:before="300"/>
      </w:pPr>
      <w:r>
        <w:rPr>
          <w:rFonts w:ascii="Arial" w:cs="Arial" w:eastAsia="Arial" w:hAnsi="Arial"/>
          <w:b/>
          <w:bCs/>
          <w:color w:val="00FFAA"/>
        </w:rPr>
        <w:t xml:space="preserve">Viel Erfolg beim Trading!</w:t>
      </w:r>
    </w:p>
    <w:p>
      <w:pPr>
        <w:spacing w:after="140"/>
      </w:pPr>
      <w:r>
        <w:rPr>
          <w:rFonts w:ascii="Arial" w:cs="Arial" w:eastAsia="Arial" w:hAnsi="Arial"/>
          <w:color w:val="CCCCCC"/>
          <w:sz w:val="24"/>
          <w:szCs w:val="24"/>
        </w:rPr>
        <w:t xml:space="preserve">PineTrader ist ein Werkzeug — kein Orakel. Die besten Ergebnisse erzielen Trader die das Dashboard verstehen, kritisch hinterfragen und konsequent mit Risikomanagement kombinieren. Kein Indikator der Welt kann schlechtes Risikomanagement ersetzen.</w:t>
      </w:r>
    </w:p>
    <w:p>
      <w:pPr>
        <w:spacing w:after="400"/>
      </w:pPr>
    </w:p>
    <w:p>
      <w:pPr>
        <w:jc w:val="center"/>
      </w:pPr>
      <w:r>
        <w:rPr>
          <w:rFonts w:ascii="Arial" w:cs="Arial" w:eastAsia="Arial" w:hAnsi="Arial"/>
          <w:color w:val="00FFAA"/>
          <w:sz w:val="22"/>
          <w:szCs w:val="22"/>
        </w:rPr>
        <w:t xml:space="preserve">pinetrading.net</w:t>
      </w:r>
    </w:p>
    <w:p>
      <w:pPr>
        <w:spacing w:after="200"/>
        <w:jc w:val="center"/>
      </w:pPr>
      <w:r>
        <w:rPr>
          <w:rFonts w:ascii="Arial" w:cs="Arial" w:eastAsia="Arial" w:hAnsi="Arial"/>
          <w:color w:val="6B7A99"/>
          <w:sz w:val="18"/>
          <w:szCs w:val="18"/>
        </w:rPr>
        <w:t xml:space="preserve">info@pinetrading.net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2026-07-13T12:50:50.244Z</dcterms:created>
  <dcterms:modified xsi:type="dcterms:W3CDTF">2026-07-13T12:50:50.257Z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