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0D1117"/>
  <w:body>
    <w:p>
      <w:pPr>
        <w:spacing w:after="200" w:before="1800"/>
        <w:jc w:val="center"/>
      </w:pPr>
      <w:r>
        <w:rPr>
          <w:rFonts w:ascii="Arial" w:cs="Arial" w:eastAsia="Arial" w:hAnsi="Arial"/>
          <w:b/>
          <w:bCs/>
          <w:color w:val="00FFAA"/>
          <w:sz w:val="96"/>
          <w:szCs w:val="96"/>
        </w:rPr>
        <w:t xml:space="preserve">PINETRADER</w:t>
      </w:r>
    </w:p>
    <w:p>
      <w:pPr>
        <w:spacing w:after="200"/>
        <w:jc w:val="center"/>
      </w:pPr>
      <w:r>
        <w:rPr>
          <w:rFonts w:ascii="Arial" w:cs="Arial" w:eastAsia="Arial" w:hAnsi="Arial"/>
          <w:color w:val="AAAAAA"/>
          <w:sz w:val="32"/>
          <w:szCs w:val="32"/>
        </w:rPr>
        <w:t xml:space="preserve">The Official Handbook</w:t>
      </w:r>
    </w:p>
    <w:p>
      <w:pPr>
        <w:spacing w:after="200"/>
        <w:jc w:val="center"/>
      </w:pPr>
      <w:r>
        <w:rPr>
          <w:rFonts w:ascii="Arial" w:cs="Arial" w:eastAsia="Arial" w:hAnsi="Arial"/>
          <w:color w:val="6B7A99"/>
          <w:sz w:val="22"/>
          <w:szCs w:val="22"/>
        </w:rPr>
        <w:t xml:space="preserve">Technical Analysis · Trading Strategies · PineTrader Dashboard</w:t>
      </w:r>
    </w:p>
    <w:p>
      <w:pPr>
        <w:spacing w:after="400"/>
        <w:jc w:val="center"/>
      </w:pPr>
      <w:r>
        <w:rPr>
          <w:rFonts w:ascii="Arial" w:cs="Arial" w:eastAsia="Arial" w:hAnsi="Arial"/>
          <w:color w:val="6B7A99"/>
          <w:sz w:val="20"/>
          <w:szCs w:val="20"/>
        </w:rPr>
        <w:t xml:space="preserve">Version 1.1 · 2026</w:t>
      </w:r>
    </w:p>
    <w:p>
      <w:r>
        <w:br w:type="page"/>
      </w:r>
    </w:p>
    <w:p>
      <w:pPr>
        <w:pStyle w:val="Heading1"/>
        <w:spacing w:after="120" w:before="300"/>
      </w:pPr>
      <w:r>
        <w:rPr>
          <w:rFonts w:ascii="Arial" w:cs="Arial" w:eastAsia="Arial" w:hAnsi="Arial"/>
          <w:b/>
          <w:bCs/>
          <w:color w:val="00FFAA"/>
        </w:rPr>
        <w:t xml:space="preserve">PART I: INTRODUCTION TO TRADING</w:t>
      </w:r>
    </w:p>
    <w:p>
      <w:pPr>
        <w:pStyle w:val="Heading2"/>
        <w:spacing w:after="120" w:before="300"/>
      </w:pPr>
      <w:r>
        <w:rPr>
          <w:rFonts w:ascii="Arial" w:cs="Arial" w:eastAsia="Arial" w:hAnsi="Arial"/>
          <w:b/>
          <w:bCs/>
          <w:color w:val="C7A05A"/>
        </w:rPr>
        <w:t xml:space="preserve">1.1 What is Trading?</w:t>
      </w:r>
    </w:p>
    <w:p>
      <w:pPr>
        <w:spacing w:after="140"/>
      </w:pPr>
      <w:r>
        <w:rPr>
          <w:rFonts w:ascii="Arial" w:cs="Arial" w:eastAsia="Arial" w:hAnsi="Arial"/>
          <w:color w:val="AAAAAA"/>
          <w:sz w:val="22"/>
          <w:szCs w:val="22"/>
        </w:rPr>
        <w:t xml:space="preserve">Trading means buying and selling financial instruments — stocks, ETFs, commodities, cryptocurrencies or currencies — to profit from price movements. Unlike long-term investing, traders use shorter time horizons ranging from days to weeks.</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0"/>
          <w:left w:type="dxa" w:w="0"/>
          <w:bottom w:type="dxa" w:w="0"/>
          <w:right w:type="dxa" w:w="0"/>
        </w:tblCellMar>
      </w:tblPr>
      <w:tblGrid>
        <w:gridCol w:w="100"/>
      </w:tblGrid>
      <w:tr>
        <w:tc>
          <w:tcPr>
            <w:tcW w:type="dxa" w:w="9200"/>
            <w:tcBorders>
              <w:top w:val="single" w:color="00FFAA" w:sz="4"/>
              <w:left w:val="single" w:color="00FFAA" w:sz="4"/>
              <w:bottom w:val="single" w:color="00FFAA" w:sz="4"/>
              <w:right w:val="single" w:color="00FFAA" w:sz="4"/>
            </w:tcBorders>
            <w:shd w:fill="0D2A1E" w:val="clear"/>
            <w:tcMar>
              <w:top w:type="dxa" w:w="120"/>
              <w:left w:type="dxa" w:w="160"/>
              <w:bottom w:type="dxa" w:w="120"/>
              <w:right w:type="dxa" w:w="160"/>
            </w:tcMar>
          </w:tcPr>
          <w:p>
            <w:r>
              <w:rPr>
                <w:rFonts w:ascii="Arial" w:cs="Arial" w:eastAsia="Arial" w:hAnsi="Arial"/>
                <w:b/>
                <w:bCs/>
                <w:color w:val="00FFAA"/>
                <w:sz w:val="20"/>
                <w:szCs w:val="20"/>
              </w:rPr>
              <w:t xml:space="preserve">Trading vs. Investing</w:t>
            </w:r>
          </w:p>
          <w:p>
            <w:pPr>
              <w:spacing w:after="60"/>
            </w:pPr>
            <w:r>
              <w:rPr>
                <w:rFonts w:ascii="Arial" w:cs="Arial" w:eastAsia="Arial" w:hAnsi="Arial"/>
                <w:color w:val="CCCCCC"/>
                <w:sz w:val="18"/>
                <w:szCs w:val="18"/>
              </w:rPr>
              <w:t xml:space="preserve">Investing: Long-term, Buy &amp; Hold, Fundamentals-driven</w:t>
            </w:r>
          </w:p>
          <w:p>
            <w:pPr>
              <w:spacing w:after="60"/>
            </w:pPr>
            <w:r>
              <w:rPr>
                <w:rFonts w:ascii="Arial" w:cs="Arial" w:eastAsia="Arial" w:hAnsi="Arial"/>
                <w:color w:val="CCCCCC"/>
                <w:sz w:val="18"/>
                <w:szCs w:val="18"/>
              </w:rPr>
              <w:t xml:space="preserve">Trading: Short- to medium-term, active, Technically-driven</w:t>
            </w:r>
          </w:p>
          <w:p>
            <w:pPr>
              <w:spacing w:after="60"/>
            </w:pPr>
            <w:r>
              <w:rPr>
                <w:rFonts w:ascii="Arial" w:cs="Arial" w:eastAsia="Arial" w:hAnsi="Arial"/>
                <w:color w:val="CCCCCC"/>
                <w:sz w:val="18"/>
                <w:szCs w:val="18"/>
              </w:rPr>
              <w:t xml:space="preserve">Swing Trading: Weeks to months — ideal for employed traders</w:t>
            </w:r>
          </w:p>
        </w:tc>
      </w:tr>
    </w:tbl>
    <w:p>
      <w:pPr>
        <w:spacing w:after="200"/>
      </w:pPr>
    </w:p>
    <w:p>
      <w:pPr>
        <w:pStyle w:val="Heading2"/>
        <w:spacing w:after="120" w:before="300"/>
      </w:pPr>
      <w:r>
        <w:rPr>
          <w:rFonts w:ascii="Arial" w:cs="Arial" w:eastAsia="Arial" w:hAnsi="Arial"/>
          <w:b/>
          <w:bCs/>
          <w:color w:val="C7A05A"/>
        </w:rPr>
        <w:t xml:space="preserve">1.4 Realistic Expectations</w:t>
      </w:r>
    </w:p>
    <w:p>
      <w:pPr>
        <w:spacing w:after="140"/>
      </w:pPr>
      <w:r>
        <w:rPr>
          <w:rFonts w:ascii="Arial" w:cs="Arial" w:eastAsia="Arial" w:hAnsi="Arial"/>
          <w:color w:val="AAAAAA"/>
          <w:sz w:val="22"/>
          <w:szCs w:val="22"/>
        </w:rPr>
        <w:t xml:space="preserve">Studies show that approximately 70–80% of active traders lose money long-term. The most common causes: no risk management, emotional decisions, oversized positions, no strategy. This handbook shows the professional approach.</w:t>
      </w:r>
    </w:p>
    <w:p>
      <w:r>
        <w:br w:type="page"/>
      </w:r>
    </w:p>
    <w:p>
      <w:pPr>
        <w:pStyle w:val="Heading1"/>
        <w:spacing w:after="120" w:before="300"/>
      </w:pPr>
      <w:r>
        <w:rPr>
          <w:rFonts w:ascii="Arial" w:cs="Arial" w:eastAsia="Arial" w:hAnsi="Arial"/>
          <w:b/>
          <w:bCs/>
          <w:color w:val="00FFAA"/>
        </w:rPr>
        <w:t xml:space="preserve">PART II: TECHNICAL ANALYSIS — THE FOUNDATION</w:t>
      </w:r>
    </w:p>
    <w:p>
      <w:pPr>
        <w:pStyle w:val="Heading2"/>
        <w:spacing w:after="120" w:before="300"/>
      </w:pPr>
      <w:r>
        <w:rPr>
          <w:rFonts w:ascii="Arial" w:cs="Arial" w:eastAsia="Arial" w:hAnsi="Arial"/>
          <w:b/>
          <w:bCs/>
          <w:color w:val="C7A05A"/>
        </w:rPr>
        <w:t xml:space="preserve">2.1 The Three Core Principles</w:t>
      </w:r>
    </w:p>
    <w:p>
      <w:pPr>
        <w:pStyle w:val="ListParagraph"/>
        <w:numPr>
          <w:ilvl w:val="0"/>
          <w:numId w:val="1"/>
        </w:numPr>
        <w:spacing w:after="80"/>
      </w:pPr>
      <w:r>
        <w:rPr>
          <w:rFonts w:ascii="Arial" w:cs="Arial" w:eastAsia="Arial" w:hAnsi="Arial"/>
          <w:color w:val="BBBBBB"/>
          <w:sz w:val="20"/>
          <w:szCs w:val="20"/>
        </w:rPr>
        <w:t xml:space="preserve">Price discounts everything — all information is already priced in</w:t>
      </w:r>
    </w:p>
    <w:p>
      <w:pPr>
        <w:pStyle w:val="ListParagraph"/>
        <w:numPr>
          <w:ilvl w:val="0"/>
          <w:numId w:val="1"/>
        </w:numPr>
        <w:spacing w:after="80"/>
      </w:pPr>
      <w:r>
        <w:rPr>
          <w:rFonts w:ascii="Arial" w:cs="Arial" w:eastAsia="Arial" w:hAnsi="Arial"/>
          <w:color w:val="BBBBBB"/>
          <w:sz w:val="20"/>
          <w:szCs w:val="20"/>
        </w:rPr>
        <w:t xml:space="preserve">Prices move in trends — upward, downward, sideways</w:t>
      </w:r>
    </w:p>
    <w:p>
      <w:pPr>
        <w:pStyle w:val="ListParagraph"/>
        <w:numPr>
          <w:ilvl w:val="0"/>
          <w:numId w:val="1"/>
        </w:numPr>
        <w:spacing w:after="80"/>
      </w:pPr>
      <w:r>
        <w:rPr>
          <w:rFonts w:ascii="Arial" w:cs="Arial" w:eastAsia="Arial" w:hAnsi="Arial"/>
          <w:color w:val="BBBBBB"/>
          <w:sz w:val="20"/>
          <w:szCs w:val="20"/>
        </w:rPr>
        <w:t xml:space="preserve">History repeats itself — patterns recur constantly</w:t>
      </w:r>
    </w:p>
    <w:p>
      <w:pPr>
        <w:spacing w:after="200"/>
      </w:pPr>
    </w:p>
    <w:p>
      <w:pPr>
        <w:pStyle w:val="Heading2"/>
        <w:spacing w:after="120" w:before="300"/>
      </w:pPr>
      <w:r>
        <w:rPr>
          <w:rFonts w:ascii="Arial" w:cs="Arial" w:eastAsia="Arial" w:hAnsi="Arial"/>
          <w:b/>
          <w:bCs/>
          <w:color w:val="C7A05A"/>
        </w:rPr>
        <w:t xml:space="preserve">2.3 Moving Averages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MA</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Meaning</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Usage</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EMA 21</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Short-term trend, momentum</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For short-term signals</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SMA 50</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Medium-term trend</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Ideal for swing trading</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SMA 200</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Long-term trend, fair value</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Base bull signal when price is above</w:t>
            </w:r>
          </w:p>
        </w:tc>
      </w:tr>
    </w:tbl>
    <w:p>
      <w:pPr>
        <w:spacing w:after="200"/>
      </w:pPr>
    </w:p>
    <w:p>
      <w:r>
        <w:br w:type="page"/>
      </w:r>
    </w:p>
    <w:p>
      <w:pPr>
        <w:pStyle w:val="Heading1"/>
        <w:spacing w:after="120" w:before="300"/>
      </w:pPr>
      <w:r>
        <w:rPr>
          <w:rFonts w:ascii="Arial" w:cs="Arial" w:eastAsia="Arial" w:hAnsi="Arial"/>
          <w:b/>
          <w:bCs/>
          <w:color w:val="00FFAA"/>
        </w:rPr>
        <w:t xml:space="preserve">PART V: SMART MONEY CONCEPTS (SMC)</w:t>
      </w:r>
    </w:p>
    <w:p>
      <w:pPr>
        <w:pStyle w:val="Heading2"/>
        <w:spacing w:after="120" w:before="300"/>
      </w:pPr>
      <w:r>
        <w:rPr>
          <w:rFonts w:ascii="Arial" w:cs="Arial" w:eastAsia="Arial" w:hAnsi="Arial"/>
          <w:b/>
          <w:bCs/>
          <w:color w:val="C7A05A"/>
        </w:rPr>
        <w:t xml:space="preserve">5.1 SMC Core Concepts</w:t>
      </w:r>
    </w:p>
    <w:p>
      <w:pPr>
        <w:spacing w:after="80"/>
        <w:ind w:left="360"/>
      </w:pPr>
      <w:r>
        <w:rPr>
          <w:rFonts w:ascii="Arial" w:cs="Arial" w:eastAsia="Arial" w:hAnsi="Arial"/>
          <w:b/>
          <w:bCs/>
          <w:color w:val="00FFAA"/>
          <w:sz w:val="20"/>
          <w:szCs w:val="20"/>
        </w:rPr>
        <w:t xml:space="preserve">CHoCH: </w:t>
      </w:r>
      <w:r>
        <w:rPr>
          <w:rFonts w:ascii="Arial" w:cs="Arial" w:eastAsia="Arial" w:hAnsi="Arial"/>
          <w:color w:val="CCCCCC"/>
          <w:sz w:val="20"/>
          <w:szCs w:val="20"/>
        </w:rPr>
        <w:t xml:space="preserve">Change of Character — trend reversal, first warning</w:t>
      </w:r>
    </w:p>
    <w:p>
      <w:pPr>
        <w:spacing w:after="80"/>
        <w:ind w:left="360"/>
      </w:pPr>
      <w:r>
        <w:rPr>
          <w:rFonts w:ascii="Arial" w:cs="Arial" w:eastAsia="Arial" w:hAnsi="Arial"/>
          <w:b/>
          <w:bCs/>
          <w:color w:val="00FFAA"/>
          <w:sz w:val="20"/>
          <w:szCs w:val="20"/>
        </w:rPr>
        <w:t xml:space="preserve">BOS: </w:t>
      </w:r>
      <w:r>
        <w:rPr>
          <w:rFonts w:ascii="Arial" w:cs="Arial" w:eastAsia="Arial" w:hAnsi="Arial"/>
          <w:color w:val="CCCCCC"/>
          <w:sz w:val="20"/>
          <w:szCs w:val="20"/>
        </w:rPr>
        <w:t xml:space="preserve">Break of Structure — trend continuation confirmed</w:t>
      </w:r>
    </w:p>
    <w:p>
      <w:pPr>
        <w:spacing w:after="80"/>
        <w:ind w:left="360"/>
      </w:pPr>
      <w:r>
        <w:rPr>
          <w:rFonts w:ascii="Arial" w:cs="Arial" w:eastAsia="Arial" w:hAnsi="Arial"/>
          <w:b/>
          <w:bCs/>
          <w:color w:val="00FFAA"/>
          <w:sz w:val="20"/>
          <w:szCs w:val="20"/>
        </w:rPr>
        <w:t xml:space="preserve">OB: </w:t>
      </w:r>
      <w:r>
        <w:rPr>
          <w:rFonts w:ascii="Arial" w:cs="Arial" w:eastAsia="Arial" w:hAnsi="Arial"/>
          <w:color w:val="CCCCCC"/>
          <w:sz w:val="20"/>
          <w:szCs w:val="20"/>
        </w:rPr>
        <w:t xml:space="preserve">Order Block — price zone with strong institutional interest</w:t>
      </w:r>
    </w:p>
    <w:p>
      <w:pPr>
        <w:spacing w:after="80"/>
        <w:ind w:left="360"/>
      </w:pPr>
      <w:r>
        <w:rPr>
          <w:rFonts w:ascii="Arial" w:cs="Arial" w:eastAsia="Arial" w:hAnsi="Arial"/>
          <w:b/>
          <w:bCs/>
          <w:color w:val="00FFAA"/>
          <w:sz w:val="20"/>
          <w:szCs w:val="20"/>
        </w:rPr>
        <w:t xml:space="preserve">FVG: </w:t>
      </w:r>
      <w:r>
        <w:rPr>
          <w:rFonts w:ascii="Arial" w:cs="Arial" w:eastAsia="Arial" w:hAnsi="Arial"/>
          <w:color w:val="CCCCCC"/>
          <w:sz w:val="20"/>
          <w:szCs w:val="20"/>
        </w:rPr>
        <w:t xml:space="preserve">Fair Value Gap — price imbalance that often gets filled</w:t>
      </w:r>
    </w:p>
    <w:p>
      <w:pPr>
        <w:spacing w:after="80"/>
        <w:ind w:left="360"/>
      </w:pPr>
      <w:r>
        <w:rPr>
          <w:rFonts w:ascii="Arial" w:cs="Arial" w:eastAsia="Arial" w:hAnsi="Arial"/>
          <w:b/>
          <w:bCs/>
          <w:color w:val="00FFAA"/>
          <w:sz w:val="20"/>
          <w:szCs w:val="20"/>
        </w:rPr>
        <w:t xml:space="preserve">Liquidity Sweep: </w:t>
      </w:r>
      <w:r>
        <w:rPr>
          <w:rFonts w:ascii="Arial" w:cs="Arial" w:eastAsia="Arial" w:hAnsi="Arial"/>
          <w:color w:val="CCCCCC"/>
          <w:sz w:val="20"/>
          <w:szCs w:val="20"/>
        </w:rPr>
        <w:t xml:space="preserve">Brief breakout to collect stops, then reversal</w:t>
      </w:r>
    </w:p>
    <w:p>
      <w:pPr>
        <w:spacing w:after="200"/>
      </w:pPr>
    </w:p>
    <w:p>
      <w:r>
        <w:br w:type="page"/>
      </w:r>
    </w:p>
    <w:p>
      <w:pPr>
        <w:pStyle w:val="Heading1"/>
        <w:spacing w:after="120" w:before="300"/>
      </w:pPr>
      <w:r>
        <w:rPr>
          <w:rFonts w:ascii="Arial" w:cs="Arial" w:eastAsia="Arial" w:hAnsi="Arial"/>
          <w:b/>
          <w:bCs/>
          <w:color w:val="00FFAA"/>
        </w:rPr>
        <w:t xml:space="preserve">PART VIII: THE PINETRADER DASHBOARD — COMPLETE GUIDE</w:t>
      </w:r>
    </w:p>
    <w:p>
      <w:pPr>
        <w:spacing w:after="200"/>
      </w:pPr>
    </w:p>
    <w:p>
      <w:pPr>
        <w:pStyle w:val="Heading2"/>
        <w:spacing w:after="120" w:before="300"/>
      </w:pPr>
      <w:r>
        <w:rPr>
          <w:rFonts w:ascii="Arial" w:cs="Arial" w:eastAsia="Arial" w:hAnsi="Arial"/>
          <w:b/>
          <w:bCs/>
          <w:color w:val="C7A05A"/>
        </w:rPr>
        <w:t xml:space="preserve">8.1 Setup and Quick Start</w:t>
      </w:r>
    </w:p>
    <w:p>
      <w:pPr>
        <w:pStyle w:val="ListParagraph"/>
        <w:numPr>
          <w:ilvl w:val="0"/>
          <w:numId w:val="1"/>
        </w:numPr>
        <w:spacing w:after="80"/>
      </w:pPr>
      <w:r>
        <w:rPr>
          <w:rFonts w:ascii="Arial" w:cs="Arial" w:eastAsia="Arial" w:hAnsi="Arial"/>
          <w:color w:val="CCCCCC"/>
          <w:sz w:val="20"/>
          <w:szCs w:val="20"/>
        </w:rPr>
        <w:t xml:space="preserve">1. Open TradingView and load the PineTrader indicator script.</w:t>
      </w:r>
    </w:p>
    <w:p>
      <w:pPr>
        <w:pStyle w:val="ListParagraph"/>
        <w:numPr>
          <w:ilvl w:val="0"/>
          <w:numId w:val="1"/>
        </w:numPr>
        <w:spacing w:after="80"/>
      </w:pPr>
      <w:r>
        <w:rPr>
          <w:rFonts w:ascii="Arial" w:cs="Arial" w:eastAsia="Arial" w:hAnsi="Arial"/>
          <w:color w:val="CCCCCC"/>
          <w:sz w:val="20"/>
          <w:szCs w:val="20"/>
        </w:rPr>
        <w:t xml:space="preserve">2. Click Settings (gear icon) in the top right.</w:t>
      </w:r>
    </w:p>
    <w:p>
      <w:pPr>
        <w:pStyle w:val="ListParagraph"/>
        <w:numPr>
          <w:ilvl w:val="0"/>
          <w:numId w:val="1"/>
        </w:numPr>
        <w:spacing w:after="80"/>
      </w:pPr>
      <w:r>
        <w:rPr>
          <w:rFonts w:ascii="Arial" w:cs="Arial" w:eastAsia="Arial" w:hAnsi="Arial"/>
          <w:color w:val="CCCCCC"/>
          <w:sz w:val="20"/>
          <w:szCs w:val="20"/>
        </w:rPr>
        <w:t xml:space="preserve">3. In the Quick Start section, enter your account size and risk budget.</w:t>
      </w:r>
    </w:p>
    <w:p>
      <w:pPr>
        <w:pStyle w:val="ListParagraph"/>
        <w:numPr>
          <w:ilvl w:val="0"/>
          <w:numId w:val="1"/>
        </w:numPr>
        <w:spacing w:after="80"/>
      </w:pPr>
      <w:r>
        <w:rPr>
          <w:rFonts w:ascii="Arial" w:cs="Arial" w:eastAsia="Arial" w:hAnsi="Arial"/>
          <w:color w:val="CCCCCC"/>
          <w:sz w:val="20"/>
          <w:szCs w:val="20"/>
        </w:rPr>
        <w:t xml:space="preserve">4. Select your desired auto-mode (default: TrendFollow).</w:t>
      </w:r>
    </w:p>
    <w:p>
      <w:pPr>
        <w:pStyle w:val="ListParagraph"/>
        <w:numPr>
          <w:ilvl w:val="0"/>
          <w:numId w:val="1"/>
        </w:numPr>
        <w:spacing w:after="80"/>
      </w:pPr>
      <w:r>
        <w:rPr>
          <w:rFonts w:ascii="Arial" w:cs="Arial" w:eastAsia="Arial" w:hAnsi="Arial"/>
          <w:color w:val="CCCCCC"/>
          <w:sz w:val="20"/>
          <w:szCs w:val="20"/>
        </w:rPr>
        <w:t xml:space="preserve">5. Enable desired overlays (S/R zones, Elliott Waves, Bottom Signal).</w:t>
      </w:r>
    </w:p>
    <w:p>
      <w:pPr>
        <w:pStyle w:val="ListParagraph"/>
        <w:numPr>
          <w:ilvl w:val="0"/>
          <w:numId w:val="1"/>
        </w:numPr>
        <w:spacing w:after="80"/>
      </w:pPr>
      <w:r>
        <w:rPr>
          <w:rFonts w:ascii="Arial" w:cs="Arial" w:eastAsia="Arial" w:hAnsi="Arial"/>
          <w:color w:val="CCCCCC"/>
          <w:sz w:val="20"/>
          <w:szCs w:val="20"/>
        </w:rPr>
        <w:t xml:space="preserve">6. Set up alerts (recommended: enable all 6 alert types).</w:t>
      </w:r>
    </w:p>
    <w:p>
      <w:pPr>
        <w:spacing w:after="200"/>
      </w:pPr>
    </w:p>
    <w:p>
      <w:pPr>
        <w:pStyle w:val="Heading2"/>
        <w:spacing w:after="120" w:before="300"/>
      </w:pPr>
      <w:r>
        <w:rPr>
          <w:rFonts w:ascii="Arial" w:cs="Arial" w:eastAsia="Arial" w:hAnsi="Arial"/>
          <w:b/>
          <w:bCs/>
          <w:color w:val="C7A05A"/>
        </w:rPr>
        <w:t xml:space="preserve">8.2 The Rating System</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Rating</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Condition</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Meaning</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A++</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Score ≥26, confluence ≥85%</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Premium setup — highest priority</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A+</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Score ≥23, confluence ≥75%</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Very strong setup</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A</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Score ≥19, confluence ≥60%</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Solid trend setup</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B+</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Setup building</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Watch, no entry yet</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B</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Weak setup</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Wait</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C</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No clear direction</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No trade</w:t>
            </w:r>
          </w:p>
        </w:tc>
      </w:tr>
    </w:tbl>
    <w:p>
      <w:pPr>
        <w:spacing w:after="300"/>
      </w:pPr>
    </w:p>
    <w:p>
      <w:pPr>
        <w:pStyle w:val="Heading2"/>
        <w:spacing w:after="120" w:before="300"/>
      </w:pPr>
      <w:r>
        <w:rPr>
          <w:rFonts w:ascii="Arial" w:cs="Arial" w:eastAsia="Arial" w:hAnsi="Arial"/>
          <w:b/>
          <w:bCs/>
          <w:color w:val="EF5350"/>
        </w:rPr>
        <w:t xml:space="preserve">8.2 The 6-Layer Protection System</w:t>
      </w:r>
    </w:p>
    <w:p>
      <w:pPr>
        <w:spacing w:after="140"/>
      </w:pPr>
      <w:r>
        <w:rPr>
          <w:rFonts w:ascii="Arial" w:cs="Arial" w:eastAsia="Arial" w:hAnsi="Arial"/>
          <w:color w:val="AAAAAA"/>
          <w:sz w:val="22"/>
          <w:szCs w:val="22"/>
        </w:rPr>
        <w:t xml:space="preserve">PineTrader has 6 hard blocks that operate independently of each other. Any single block is sufficient to prevent an A-grade — regardless of the score. This is not a scoring penalty but a hard veto.</w:t>
      </w:r>
    </w:p>
    <w:p>
      <w:pPr>
        <w:spacing w:after="120"/>
      </w:pP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Block</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Effect</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Trigger</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01</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NMPE Bearish Probability ≥65%</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Blocks A / A+ / A++</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Probabilistic model shows &gt;65% bear probability</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02</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Distribution Score ≥6/10</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Blocks A / A+ / A++</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Heavy institutional selling detected</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03</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ATH Proximity (within 2% of 52W High)</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Blocks A+ / A++</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Maximum risk, minimal upside</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04</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Valuation Score ≥80/100</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Blocks A / A+ / A++</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Statistically overextended valuation</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05</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Bear Market Regime active</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Blocks all A grades</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Systemic market risk too high</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06</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ATR Volatility Extreme (&gt;2× average)</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Blocks A++ / triggers WAIT</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Stop-loss would need to be placed too wide</w:t>
            </w:r>
          </w:p>
        </w:tc>
      </w:tr>
    </w:tbl>
    <w:p>
      <w:pPr>
        <w:spacing w:after="300"/>
      </w:pPr>
    </w:p>
    <w:p>
      <w:pPr>
        <w:pStyle w:val="Heading2"/>
        <w:spacing w:after="120" w:before="300"/>
      </w:pPr>
      <w:r>
        <w:rPr>
          <w:rFonts w:ascii="Arial" w:cs="Arial" w:eastAsia="Arial" w:hAnsi="Arial"/>
          <w:b/>
          <w:bCs/>
          <w:color w:val="C7A05A"/>
        </w:rPr>
        <w:t xml:space="preserve">8.4 All Dashboard Rows Explained</w:t>
      </w:r>
    </w:p>
    <w:p>
      <w:pPr>
        <w:spacing w:after="140"/>
      </w:pPr>
      <w:r>
        <w:rPr>
          <w:rFonts w:ascii="Arial" w:cs="Arial" w:eastAsia="Arial" w:hAnsi="Arial"/>
          <w:color w:val="AAAAAA"/>
          <w:sz w:val="22"/>
          <w:szCs w:val="22"/>
        </w:rPr>
        <w:t xml:space="preserve">The PineTrader dashboard consists of 38 rows updated in real time. Each row has a left and right column plus colour-coded background. The table below explains every row in full.</w:t>
      </w:r>
    </w:p>
    <w:p>
      <w:pPr>
        <w:spacing w:after="200"/>
      </w:pPr>
    </w:p>
    <w:p>
      <w:pPr>
        <w:spacing w:after="60" w:before="240"/>
      </w:pPr>
      <w:r>
        <w:rPr>
          <w:rFonts w:ascii="Arial" w:cs="Arial" w:eastAsia="Arial" w:hAnsi="Arial"/>
          <w:b/>
          <w:bCs/>
          <w:color w:val="00FFAA"/>
          <w:sz w:val="22"/>
          <w:szCs w:val="22"/>
        </w:rPr>
        <w:t xml:space="preserve">▸  Score / Action</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Score 0–30 + Rating A++–C + Action</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Overall recommendation</w:t>
      </w:r>
    </w:p>
    <w:p>
      <w:pPr>
        <w:spacing w:after="160"/>
        <w:ind w:left="360"/>
      </w:pPr>
      <w:r>
        <w:rPr>
          <w:rFonts w:ascii="Arial" w:cs="Arial" w:eastAsia="Arial" w:hAnsi="Arial"/>
          <w:color w:val="AAAAAA"/>
          <w:sz w:val="18"/>
          <w:szCs w:val="18"/>
        </w:rPr>
        <w:t xml:space="preserve">The central score (0–30 points) aggregates all 15 engines. The rating (A++, A+, A, B+, B, C) is the qualitative grade. Action shows the current recommendation: BUY, WAIT, WATCH, REDUCE or EXIT. Background: green for A+/A++, yellow for B+, red for C.</w:t>
      </w:r>
    </w:p>
    <w:p>
      <w:pPr>
        <w:spacing w:after="60" w:before="240"/>
      </w:pPr>
      <w:r>
        <w:rPr>
          <w:rFonts w:ascii="Arial" w:cs="Arial" w:eastAsia="Arial" w:hAnsi="Arial"/>
          <w:b/>
          <w:bCs/>
          <w:color w:val="00FFAA"/>
          <w:sz w:val="22"/>
          <w:szCs w:val="22"/>
        </w:rPr>
        <w:t xml:space="preserve">▸  Next Move Odds</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Probability in % (Bullish / Lateral / Bearish)</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Confidence + dominant direction</w:t>
      </w:r>
    </w:p>
    <w:p>
      <w:pPr>
        <w:spacing w:after="160"/>
        <w:ind w:left="360"/>
      </w:pPr>
      <w:r>
        <w:rPr>
          <w:rFonts w:ascii="Arial" w:cs="Arial" w:eastAsia="Arial" w:hAnsi="Arial"/>
          <w:color w:val="AAAAAA"/>
          <w:sz w:val="18"/>
          <w:szCs w:val="18"/>
        </w:rPr>
        <w:t xml:space="preserve">The NMPE (Next Move Probability Engine) uses a softmax function over 8 weighted factors to calculate the probability of the next price move. Bullish ≥70% and bearish &lt;35% are required for buy signals. If bearish probability ≥65%, all A-grades are automatically blocked.</w:t>
      </w:r>
    </w:p>
    <w:p>
      <w:pPr>
        <w:spacing w:after="60" w:before="240"/>
      </w:pPr>
      <w:r>
        <w:rPr>
          <w:rFonts w:ascii="Arial" w:cs="Arial" w:eastAsia="Arial" w:hAnsi="Arial"/>
          <w:b/>
          <w:bCs/>
          <w:color w:val="00FFAA"/>
          <w:sz w:val="22"/>
          <w:szCs w:val="22"/>
        </w:rPr>
        <w:t xml:space="preserve">▸  Volume</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Volume bar + trend</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Climax / OBV status</w:t>
      </w:r>
    </w:p>
    <w:p>
      <w:pPr>
        <w:spacing w:after="160"/>
        <w:ind w:left="360"/>
      </w:pPr>
      <w:r>
        <w:rPr>
          <w:rFonts w:ascii="Arial" w:cs="Arial" w:eastAsia="Arial" w:hAnsi="Arial"/>
          <w:color w:val="AAAAAA"/>
          <w:sz w:val="18"/>
          <w:szCs w:val="18"/>
        </w:rPr>
        <w:t xml:space="preserve">Shows current volume relative to the 20-bar average as a visual bar. Climax volume (&gt;200% avg) is marked separately. OBV suffix shows whether the On-Balance-Volume trend is rising (▲) or falling (▼).</w:t>
      </w:r>
    </w:p>
    <w:p>
      <w:pPr>
        <w:spacing w:after="60" w:before="240"/>
      </w:pPr>
      <w:r>
        <w:rPr>
          <w:rFonts w:ascii="Arial" w:cs="Arial" w:eastAsia="Arial" w:hAnsi="Arial"/>
          <w:b/>
          <w:bCs/>
          <w:color w:val="00FFAA"/>
          <w:sz w:val="22"/>
          <w:szCs w:val="22"/>
        </w:rPr>
        <w:t xml:space="preserve">▸  Buy/Sell Pressure</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Acc X / Dist X  Net: Y</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Direction + strength</w:t>
      </w:r>
    </w:p>
    <w:p>
      <w:pPr>
        <w:spacing w:after="160"/>
        <w:ind w:left="360"/>
      </w:pPr>
      <w:r>
        <w:rPr>
          <w:rFonts w:ascii="Arial" w:cs="Arial" w:eastAsia="Arial" w:hAnsi="Arial"/>
          <w:color w:val="AAAAAA"/>
          <w:sz w:val="18"/>
          <w:szCs w:val="18"/>
        </w:rPr>
        <w:t xml:space="preserve">Counts accumulation vs. distribution bars over the last 20 periods. Net: positive = more buying pressure, negative = more selling pressure. Basis for the Distribution Score.</w:t>
      </w:r>
    </w:p>
    <w:p>
      <w:pPr>
        <w:spacing w:after="60" w:before="240"/>
      </w:pPr>
      <w:r>
        <w:rPr>
          <w:rFonts w:ascii="Arial" w:cs="Arial" w:eastAsia="Arial" w:hAnsi="Arial"/>
          <w:b/>
          <w:bCs/>
          <w:color w:val="00FFAA"/>
          <w:sz w:val="22"/>
          <w:szCs w:val="22"/>
        </w:rPr>
        <w:t xml:space="preserve">▸  Momentum</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Momentum status + direction</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RSI / MACD / ROC details</w:t>
      </w:r>
    </w:p>
    <w:p>
      <w:pPr>
        <w:spacing w:after="160"/>
        <w:ind w:left="360"/>
      </w:pPr>
      <w:r>
        <w:rPr>
          <w:rFonts w:ascii="Arial" w:cs="Arial" w:eastAsia="Arial" w:hAnsi="Arial"/>
          <w:color w:val="AAAAAA"/>
          <w:sz w:val="18"/>
          <w:szCs w:val="18"/>
        </w:rPr>
        <w:t xml:space="preserve">Combines RSI, MACD histogram, ROC and ADC into an overall momentum reading. ⚡ signals a momentum turn (important signal). Color: green = rising momentum, red = falling momentum.</w:t>
      </w:r>
    </w:p>
    <w:p>
      <w:pPr>
        <w:spacing w:after="60" w:before="240"/>
      </w:pPr>
      <w:r>
        <w:rPr>
          <w:rFonts w:ascii="Arial" w:cs="Arial" w:eastAsia="Arial" w:hAnsi="Arial"/>
          <w:b/>
          <w:bCs/>
          <w:color w:val="00FFAA"/>
          <w:sz w:val="22"/>
          <w:szCs w:val="22"/>
        </w:rPr>
        <w:t xml:space="preserve">▸  Trend</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Main trend direction (Daily)</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Multi-Timeframe (W1/M1)</w:t>
      </w:r>
    </w:p>
    <w:p>
      <w:pPr>
        <w:spacing w:after="160"/>
        <w:ind w:left="360"/>
      </w:pPr>
      <w:r>
        <w:rPr>
          <w:rFonts w:ascii="Arial" w:cs="Arial" w:eastAsia="Arial" w:hAnsi="Arial"/>
          <w:color w:val="AAAAAA"/>
          <w:sz w:val="18"/>
          <w:szCs w:val="18"/>
        </w:rPr>
        <w:t xml:space="preserve">Determines the trend using EMA21, SMA50, SMA200 and ADX. Additionally shows weekly and monthly trend for multi-timeframe analysis. Required: for A-grade, daily and weekly trend must align.</w:t>
      </w:r>
    </w:p>
    <w:p>
      <w:pPr>
        <w:spacing w:after="60" w:before="240"/>
      </w:pPr>
      <w:r>
        <w:rPr>
          <w:rFonts w:ascii="Arial" w:cs="Arial" w:eastAsia="Arial" w:hAnsi="Arial"/>
          <w:b/>
          <w:bCs/>
          <w:color w:val="00FFAA"/>
          <w:sz w:val="22"/>
          <w:szCs w:val="22"/>
        </w:rPr>
        <w:t xml:space="preserve">▸  Regime</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Market regime (Bull/Bear/Chop/Breakout)</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VIX + volatility status</w:t>
      </w:r>
    </w:p>
    <w:p>
      <w:pPr>
        <w:spacing w:after="160"/>
        <w:ind w:left="360"/>
      </w:pPr>
      <w:r>
        <w:rPr>
          <w:rFonts w:ascii="Arial" w:cs="Arial" w:eastAsia="Arial" w:hAnsi="Arial"/>
          <w:color w:val="AAAAAA"/>
          <w:sz w:val="18"/>
          <w:szCs w:val="18"/>
        </w:rPr>
        <w:t xml:space="preserve">Classifies the overall market. Bull Market and Breakout allow A+ grades. Bear Market blocks all buy signals. Chop = sideways market, increased caution.</w:t>
      </w:r>
    </w:p>
    <w:p>
      <w:pPr>
        <w:spacing w:after="60" w:before="240"/>
      </w:pPr>
      <w:r>
        <w:rPr>
          <w:rFonts w:ascii="Arial" w:cs="Arial" w:eastAsia="Arial" w:hAnsi="Arial"/>
          <w:b/>
          <w:bCs/>
          <w:color w:val="00FFAA"/>
          <w:sz w:val="22"/>
          <w:szCs w:val="22"/>
        </w:rPr>
        <w:t xml:space="preserve">▸  Setup Quality</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QM Score / Edge Score</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Expected Value (EV)</w:t>
      </w:r>
    </w:p>
    <w:p>
      <w:pPr>
        <w:spacing w:after="160"/>
        <w:ind w:left="360"/>
      </w:pPr>
      <w:r>
        <w:rPr>
          <w:rFonts w:ascii="Arial" w:cs="Arial" w:eastAsia="Arial" w:hAnsi="Arial"/>
          <w:color w:val="AAAAAA"/>
          <w:sz w:val="18"/>
          <w:szCs w:val="18"/>
        </w:rPr>
        <w:t xml:space="preserve">QM Score (Quality Momentum, 0–10): rates momentum quality and pattern quality. Edge Score: overall edge assessment including risk/reward ratio.</w:t>
      </w:r>
    </w:p>
    <w:p>
      <w:pPr>
        <w:spacing w:after="60" w:before="240"/>
      </w:pPr>
      <w:r>
        <w:rPr>
          <w:rFonts w:ascii="Arial" w:cs="Arial" w:eastAsia="Arial" w:hAnsi="Arial"/>
          <w:b/>
          <w:bCs/>
          <w:color w:val="00FFAA"/>
          <w:sz w:val="22"/>
          <w:szCs w:val="22"/>
        </w:rPr>
        <w:t xml:space="preserve">▸  Valuation</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Valuation score 0–100</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Distance to SMA200</w:t>
      </w:r>
    </w:p>
    <w:p>
      <w:pPr>
        <w:spacing w:after="160"/>
        <w:ind w:left="360"/>
      </w:pPr>
      <w:r>
        <w:rPr>
          <w:rFonts w:ascii="Arial" w:cs="Arial" w:eastAsia="Arial" w:hAnsi="Arial"/>
          <w:color w:val="AAAAAA"/>
          <w:sz w:val="18"/>
          <w:szCs w:val="18"/>
        </w:rPr>
        <w:t xml:space="preserve">Measures distance from fair value (SMA200), normalised over 2 years. 0–30 = cheap, 30–60 = fair, 60–80 = expensive, &gt;80 = very expensive. Above 80, A-grades are blocked.</w:t>
      </w:r>
    </w:p>
    <w:p>
      <w:pPr>
        <w:spacing w:after="60" w:before="240"/>
      </w:pPr>
      <w:r>
        <w:rPr>
          <w:rFonts w:ascii="Arial" w:cs="Arial" w:eastAsia="Arial" w:hAnsi="Arial"/>
          <w:b/>
          <w:bCs/>
          <w:color w:val="00FFAA"/>
          <w:sz w:val="22"/>
          <w:szCs w:val="22"/>
        </w:rPr>
        <w:t xml:space="preserve">▸  Distribution</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Distribution Score 0–10 + trend</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OBV/Acc-Dist details</w:t>
      </w:r>
    </w:p>
    <w:p>
      <w:pPr>
        <w:spacing w:after="160"/>
        <w:ind w:left="360"/>
      </w:pPr>
      <w:r>
        <w:rPr>
          <w:rFonts w:ascii="Arial" w:cs="Arial" w:eastAsia="Arial" w:hAnsi="Arial"/>
          <w:color w:val="AAAAAA"/>
          <w:sz w:val="18"/>
          <w:szCs w:val="18"/>
        </w:rPr>
        <w:t xml:space="preserve">Measures institutional selling via OBV divergence, churning and Acc/Dist patterns. Score ≥6 blocks all A-grades (hard veto). Score ≥4 shows a warning.</w:t>
      </w:r>
    </w:p>
    <w:p>
      <w:pPr>
        <w:spacing w:after="60" w:before="240"/>
      </w:pPr>
      <w:r>
        <w:rPr>
          <w:rFonts w:ascii="Arial" w:cs="Arial" w:eastAsia="Arial" w:hAnsi="Arial"/>
          <w:b/>
          <w:bCs/>
          <w:color w:val="00FFAA"/>
          <w:sz w:val="22"/>
          <w:szCs w:val="22"/>
        </w:rPr>
        <w:t xml:space="preserve">▸  RS vs Market</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RS Rating 1–99</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Relative performance vs. benchmark</w:t>
      </w:r>
    </w:p>
    <w:p>
      <w:pPr>
        <w:spacing w:after="160"/>
        <w:ind w:left="360"/>
      </w:pPr>
      <w:r>
        <w:rPr>
          <w:rFonts w:ascii="Arial" w:cs="Arial" w:eastAsia="Arial" w:hAnsi="Arial"/>
          <w:color w:val="AAAAAA"/>
          <w:sz w:val="18"/>
          <w:szCs w:val="18"/>
        </w:rPr>
        <w:t xml:space="preserve">Compares instrument performance to the auto-selected benchmark (e.g. DAX for EUR stocks, SPX for USD). Rating 80+ = RS leader. The active benchmark is shown in [brackets].</w:t>
      </w:r>
    </w:p>
    <w:p>
      <w:pPr>
        <w:spacing w:after="60" w:before="240"/>
      </w:pPr>
      <w:r>
        <w:rPr>
          <w:rFonts w:ascii="Arial" w:cs="Arial" w:eastAsia="Arial" w:hAnsi="Arial"/>
          <w:b/>
          <w:bCs/>
          <w:color w:val="00FFAA"/>
          <w:sz w:val="22"/>
          <w:szCs w:val="22"/>
        </w:rPr>
        <w:t xml:space="preserve">▸  Strategy</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Current auto-mode + signal</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TP1 or warning</w:t>
      </w:r>
    </w:p>
    <w:p>
      <w:pPr>
        <w:spacing w:after="160"/>
        <w:ind w:left="360"/>
      </w:pPr>
      <w:r>
        <w:rPr>
          <w:rFonts w:ascii="Arial" w:cs="Arial" w:eastAsia="Arial" w:hAnsi="Arial"/>
          <w:color w:val="AAAAAA"/>
          <w:sz w:val="18"/>
          <w:szCs w:val="18"/>
        </w:rPr>
        <w:t xml:space="preserve">Shows the active auto-mode (TrendFollow / Dip Buy / Anti-Cyclic / Breakout / SMC Reversal) and, when a buy signal is active, the first take-profit level.</w:t>
      </w:r>
    </w:p>
    <w:p>
      <w:pPr>
        <w:spacing w:after="60" w:before="240"/>
      </w:pPr>
      <w:r>
        <w:rPr>
          <w:rFonts w:ascii="Arial" w:cs="Arial" w:eastAsia="Arial" w:hAnsi="Arial"/>
          <w:b/>
          <w:bCs/>
          <w:color w:val="00FFAA"/>
          <w:sz w:val="22"/>
          <w:szCs w:val="22"/>
        </w:rPr>
        <w:t xml:space="preserve">▸  Dip</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Risk score 0–12</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Dip quality</w:t>
      </w:r>
    </w:p>
    <w:p>
      <w:pPr>
        <w:spacing w:after="160"/>
        <w:ind w:left="360"/>
      </w:pPr>
      <w:r>
        <w:rPr>
          <w:rFonts w:ascii="Arial" w:cs="Arial" w:eastAsia="Arial" w:hAnsi="Arial"/>
          <w:color w:val="AAAAAA"/>
          <w:sz w:val="18"/>
          <w:szCs w:val="18"/>
        </w:rPr>
        <w:t xml:space="preserve">Rates the quality of a pullback within an uptrend. Low risk score during a dip = optimal buying conditions for the Dip Buy strategy.</w:t>
      </w:r>
    </w:p>
    <w:p>
      <w:pPr>
        <w:spacing w:after="60" w:before="240"/>
      </w:pPr>
      <w:r>
        <w:rPr>
          <w:rFonts w:ascii="Arial" w:cs="Arial" w:eastAsia="Arial" w:hAnsi="Arial"/>
          <w:b/>
          <w:bCs/>
          <w:color w:val="00FFAA"/>
          <w:sz w:val="22"/>
          <w:szCs w:val="22"/>
        </w:rPr>
        <w:t xml:space="preserve">▸  Anti-Cyclic</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Anti Score 0–10</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SL/TP on entry</w:t>
      </w:r>
    </w:p>
    <w:p>
      <w:pPr>
        <w:spacing w:after="160"/>
        <w:ind w:left="360"/>
      </w:pPr>
      <w:r>
        <w:rPr>
          <w:rFonts w:ascii="Arial" w:cs="Arial" w:eastAsia="Arial" w:hAnsi="Arial"/>
          <w:color w:val="AAAAAA"/>
          <w:sz w:val="18"/>
          <w:szCs w:val="18"/>
        </w:rPr>
        <w:t xml:space="preserve">The Anti-Cyclic Score rates counter-trend buying opportunities (oversold extremes with divergence). Score ≥5 with RSI &lt;40 and bullish divergence = anti entry.</w:t>
      </w:r>
    </w:p>
    <w:p>
      <w:pPr>
        <w:spacing w:after="60" w:before="240"/>
      </w:pPr>
      <w:r>
        <w:rPr>
          <w:rFonts w:ascii="Arial" w:cs="Arial" w:eastAsia="Arial" w:hAnsi="Arial"/>
          <w:b/>
          <w:bCs/>
          <w:color w:val="00FFAA"/>
          <w:sz w:val="22"/>
          <w:szCs w:val="22"/>
        </w:rPr>
        <w:t xml:space="preserve">▸  Stoch / CCI / %R</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Stochastic RSI + CCI</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Williams %R</w:t>
      </w:r>
    </w:p>
    <w:p>
      <w:pPr>
        <w:spacing w:after="160"/>
        <w:ind w:left="360"/>
      </w:pPr>
      <w:r>
        <w:rPr>
          <w:rFonts w:ascii="Arial" w:cs="Arial" w:eastAsia="Arial" w:hAnsi="Arial"/>
          <w:color w:val="AAAAAA"/>
          <w:sz w:val="18"/>
          <w:szCs w:val="18"/>
        </w:rPr>
        <w:t xml:space="preserve">Three oscillators for overbought/oversold analysis. Stoch &gt;80 = overbought. CCI &gt;100 = overbought. %R &lt; -80 = oversold. All three red = strong warning signal.</w:t>
      </w:r>
    </w:p>
    <w:p>
      <w:pPr>
        <w:spacing w:after="60" w:before="240"/>
      </w:pPr>
      <w:r>
        <w:rPr>
          <w:rFonts w:ascii="Arial" w:cs="Arial" w:eastAsia="Arial" w:hAnsi="Arial"/>
          <w:b/>
          <w:bCs/>
          <w:color w:val="00FFAA"/>
          <w:sz w:val="22"/>
          <w:szCs w:val="22"/>
        </w:rPr>
        <w:t xml:space="preserve">▸  Bar Quality</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Candle quality 0–100</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Active divergence</w:t>
      </w:r>
    </w:p>
    <w:p>
      <w:pPr>
        <w:spacing w:after="160"/>
        <w:ind w:left="360"/>
      </w:pPr>
      <w:r>
        <w:rPr>
          <w:rFonts w:ascii="Arial" w:cs="Arial" w:eastAsia="Arial" w:hAnsi="Arial"/>
          <w:color w:val="AAAAAA"/>
          <w:sz w:val="18"/>
          <w:szCs w:val="18"/>
        </w:rPr>
        <w:t xml:space="preserve">Rates the current candle by candlestick pattern, body/wick ratio and position in daily range. Shows active RSI/MACD divergences.</w:t>
      </w:r>
    </w:p>
    <w:p>
      <w:pPr>
        <w:spacing w:after="60" w:before="240"/>
      </w:pPr>
      <w:r>
        <w:rPr>
          <w:rFonts w:ascii="Arial" w:cs="Arial" w:eastAsia="Arial" w:hAnsi="Arial"/>
          <w:b/>
          <w:bCs/>
          <w:color w:val="00FFAA"/>
          <w:sz w:val="22"/>
          <w:szCs w:val="22"/>
        </w:rPr>
        <w:t xml:space="preserve">▸  Moving Averages</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EMA21 / SMA50 / SMA200 direction</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Price vs. SMA200</w:t>
      </w:r>
    </w:p>
    <w:p>
      <w:pPr>
        <w:spacing w:after="160"/>
        <w:ind w:left="360"/>
      </w:pPr>
      <w:r>
        <w:rPr>
          <w:rFonts w:ascii="Arial" w:cs="Arial" w:eastAsia="Arial" w:hAnsi="Arial"/>
          <w:color w:val="AAAAAA"/>
          <w:sz w:val="18"/>
          <w:szCs w:val="18"/>
        </w:rPr>
        <w:t xml:space="preserve">Shows the direction (▲/▼/→) of the three key moving averages. Ideal: EMA21 &gt; SMA50 &gt; SMA200, all rising. Price above SMA200 = base bull signal.</w:t>
      </w:r>
    </w:p>
    <w:p>
      <w:pPr>
        <w:spacing w:after="60" w:before="240"/>
      </w:pPr>
      <w:r>
        <w:rPr>
          <w:rFonts w:ascii="Arial" w:cs="Arial" w:eastAsia="Arial" w:hAnsi="Arial"/>
          <w:b/>
          <w:bCs/>
          <w:color w:val="00FFAA"/>
          <w:sz w:val="22"/>
          <w:szCs w:val="22"/>
        </w:rPr>
        <w:t xml:space="preserve">▸  Market Structure</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SMC structure (CHoCH/BOS/OB/FVG)</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Confluence Score</w:t>
      </w:r>
    </w:p>
    <w:p>
      <w:pPr>
        <w:spacing w:after="160"/>
        <w:ind w:left="360"/>
      </w:pPr>
      <w:r>
        <w:rPr>
          <w:rFonts w:ascii="Arial" w:cs="Arial" w:eastAsia="Arial" w:hAnsi="Arial"/>
          <w:color w:val="AAAAAA"/>
          <w:sz w:val="18"/>
          <w:szCs w:val="18"/>
        </w:rPr>
        <w:t xml:space="preserve">Smart Money Concepts: CHoCH = Change of Character (trend reversal), BOS = Break of Structure (continuation), OB = Order Block, FVG = Fair Value Gap. Confluence Score 0–100 aggregates all SMC signals.</w:t>
      </w:r>
    </w:p>
    <w:p>
      <w:pPr>
        <w:spacing w:after="60" w:before="240"/>
      </w:pPr>
      <w:r>
        <w:rPr>
          <w:rFonts w:ascii="Arial" w:cs="Arial" w:eastAsia="Arial" w:hAnsi="Arial"/>
          <w:b/>
          <w:bCs/>
          <w:color w:val="00FFAA"/>
          <w:sz w:val="22"/>
          <w:szCs w:val="22"/>
        </w:rPr>
        <w:t xml:space="preserve">▸  Entry Zone</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Zone status (Above / In / Below)</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Zone price range</w:t>
      </w:r>
    </w:p>
    <w:p>
      <w:pPr>
        <w:spacing w:after="160"/>
        <w:ind w:left="360"/>
      </w:pPr>
      <w:r>
        <w:rPr>
          <w:rFonts w:ascii="Arial" w:cs="Arial" w:eastAsia="Arial" w:hAnsi="Arial"/>
          <w:color w:val="AAAAAA"/>
          <w:sz w:val="18"/>
          <w:szCs w:val="18"/>
        </w:rPr>
        <w:t xml:space="preserve">The Value Accumulation Zone (VAZ) marks the optimal entry area. "In zone" = ideal position. "Above zone: wait" = too expensive for a new entry.</w:t>
      </w:r>
    </w:p>
    <w:p>
      <w:pPr>
        <w:spacing w:after="60" w:before="240"/>
      </w:pPr>
      <w:r>
        <w:rPr>
          <w:rFonts w:ascii="Arial" w:cs="Arial" w:eastAsia="Arial" w:hAnsi="Arial"/>
          <w:b/>
          <w:bCs/>
          <w:color w:val="00FFAA"/>
          <w:sz w:val="22"/>
          <w:szCs w:val="22"/>
        </w:rPr>
        <w:t xml:space="preserve">▸  Elliott</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Current wave position</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Next price target</w:t>
      </w:r>
    </w:p>
    <w:p>
      <w:pPr>
        <w:spacing w:after="160"/>
        <w:ind w:left="360"/>
      </w:pPr>
      <w:r>
        <w:rPr>
          <w:rFonts w:ascii="Arial" w:cs="Arial" w:eastAsia="Arial" w:hAnsi="Arial"/>
          <w:color w:val="AAAAAA"/>
          <w:sz w:val="18"/>
          <w:szCs w:val="18"/>
        </w:rPr>
        <w:t xml:space="preserve">Automatic Elliott Wave detection. W1–W5 = impulse waves, A/B/C = corrective waves. Shows the projected price target for the next wave (Fibonacci extensions).</w:t>
      </w:r>
    </w:p>
    <w:p>
      <w:pPr>
        <w:spacing w:after="60" w:before="240"/>
      </w:pPr>
      <w:r>
        <w:rPr>
          <w:rFonts w:ascii="Arial" w:cs="Arial" w:eastAsia="Arial" w:hAnsi="Arial"/>
          <w:b/>
          <w:bCs/>
          <w:color w:val="00FFAA"/>
          <w:sz w:val="22"/>
          <w:szCs w:val="22"/>
        </w:rPr>
        <w:t xml:space="preserve">▸  52W High/Low</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Distance from 52W High in %</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Distance from 52W Low in %</w:t>
      </w:r>
    </w:p>
    <w:p>
      <w:pPr>
        <w:spacing w:after="160"/>
        <w:ind w:left="360"/>
      </w:pPr>
      <w:r>
        <w:rPr>
          <w:rFonts w:ascii="Arial" w:cs="Arial" w:eastAsia="Arial" w:hAnsi="Arial"/>
          <w:color w:val="AAAAAA"/>
          <w:sz w:val="18"/>
          <w:szCs w:val="18"/>
        </w:rPr>
        <w:t xml:space="preserve">Shows positioning within the 52-week range. Within 2% of the high = ATH block active (blocks A+ and A++). Far from the low = favourable entry possible.</w:t>
      </w:r>
    </w:p>
    <w:p>
      <w:pPr>
        <w:spacing w:after="60" w:before="240"/>
      </w:pPr>
      <w:r>
        <w:rPr>
          <w:rFonts w:ascii="Arial" w:cs="Arial" w:eastAsia="Arial" w:hAnsi="Arial"/>
          <w:b/>
          <w:bCs/>
          <w:color w:val="00FFAA"/>
          <w:sz w:val="22"/>
          <w:szCs w:val="22"/>
        </w:rPr>
        <w:t xml:space="preserve">▸  Anti Detail</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Anti score components</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Divergence details</w:t>
      </w:r>
    </w:p>
    <w:p>
      <w:pPr>
        <w:spacing w:after="160"/>
        <w:ind w:left="360"/>
      </w:pPr>
      <w:r>
        <w:rPr>
          <w:rFonts w:ascii="Arial" w:cs="Arial" w:eastAsia="Arial" w:hAnsi="Arial"/>
          <w:color w:val="AAAAAA"/>
          <w:sz w:val="18"/>
          <w:szCs w:val="18"/>
        </w:rPr>
        <w:t xml:space="preserve">Detail view of the Anti-Cyclic Score: RSI divergence, MACD divergence, Wyckoff phase, oversold level.</w:t>
      </w:r>
    </w:p>
    <w:p>
      <w:pPr>
        <w:spacing w:after="60" w:before="240"/>
      </w:pPr>
      <w:r>
        <w:rPr>
          <w:rFonts w:ascii="Arial" w:cs="Arial" w:eastAsia="Arial" w:hAnsi="Arial"/>
          <w:b/>
          <w:bCs/>
          <w:color w:val="00FFAA"/>
          <w:sz w:val="22"/>
          <w:szCs w:val="22"/>
        </w:rPr>
        <w:t xml:space="preserve">▸  Portfolio Risk</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Total risk as % of account</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Status (OK / Warning)</w:t>
      </w:r>
    </w:p>
    <w:p>
      <w:pPr>
        <w:spacing w:after="160"/>
        <w:ind w:left="360"/>
      </w:pPr>
      <w:r>
        <w:rPr>
          <w:rFonts w:ascii="Arial" w:cs="Arial" w:eastAsia="Arial" w:hAnsi="Arial"/>
          <w:color w:val="AAAAAA"/>
          <w:sz w:val="18"/>
          <w:szCs w:val="18"/>
        </w:rPr>
        <w:t xml:space="preserve">Aggregates the risk of all open positions. Above 10% total risk = warning. New trades are included in the risk assessment.</w:t>
      </w:r>
    </w:p>
    <w:p>
      <w:pPr>
        <w:spacing w:after="60" w:before="240"/>
      </w:pPr>
      <w:r>
        <w:rPr>
          <w:rFonts w:ascii="Arial" w:cs="Arial" w:eastAsia="Arial" w:hAnsi="Arial"/>
          <w:b/>
          <w:bCs/>
          <w:color w:val="00FFAA"/>
          <w:sz w:val="22"/>
          <w:szCs w:val="22"/>
        </w:rPr>
        <w:t xml:space="preserve">▸  Budget</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Budget used in %</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Remaining risk budget</w:t>
      </w:r>
    </w:p>
    <w:p>
      <w:pPr>
        <w:spacing w:after="160"/>
        <w:ind w:left="360"/>
      </w:pPr>
      <w:r>
        <w:rPr>
          <w:rFonts w:ascii="Arial" w:cs="Arial" w:eastAsia="Arial" w:hAnsi="Arial"/>
          <w:color w:val="AAAAAA"/>
          <w:sz w:val="18"/>
          <w:szCs w:val="18"/>
        </w:rPr>
        <w:t xml:space="preserve">Shows how much of the defined risk budget is already deployed. Basis for Kelly position sizing.</w:t>
      </w:r>
    </w:p>
    <w:p>
      <w:pPr>
        <w:spacing w:after="60" w:before="240"/>
      </w:pPr>
      <w:r>
        <w:rPr>
          <w:rFonts w:ascii="Arial" w:cs="Arial" w:eastAsia="Arial" w:hAnsi="Arial"/>
          <w:b/>
          <w:bCs/>
          <w:color w:val="00FFAA"/>
          <w:sz w:val="22"/>
          <w:szCs w:val="22"/>
        </w:rPr>
        <w:t xml:space="preserve">▸  Trade Approved?</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Approval (YES / NO / WAIT)</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Kelly fraction in %</w:t>
      </w:r>
    </w:p>
    <w:p>
      <w:pPr>
        <w:spacing w:after="160"/>
        <w:ind w:left="360"/>
      </w:pPr>
      <w:r>
        <w:rPr>
          <w:rFonts w:ascii="Arial" w:cs="Arial" w:eastAsia="Arial" w:hAnsi="Arial"/>
          <w:color w:val="AAAAAA"/>
          <w:sz w:val="18"/>
          <w:szCs w:val="18"/>
        </w:rPr>
        <w:t xml:space="preserve">Summary of all safety checks. YES = all conditions met, trade approved. NO = at least one condition not met. Shows the Kelly-optimal allocation as % of account.</w:t>
      </w:r>
    </w:p>
    <w:p>
      <w:pPr>
        <w:spacing w:after="60" w:before="240"/>
      </w:pPr>
      <w:r>
        <w:rPr>
          <w:rFonts w:ascii="Arial" w:cs="Arial" w:eastAsia="Arial" w:hAnsi="Arial"/>
          <w:b/>
          <w:bCs/>
          <w:color w:val="00FFAA"/>
          <w:sz w:val="22"/>
          <w:szCs w:val="22"/>
        </w:rPr>
        <w:t xml:space="preserve">▸  SL/TP</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Stop-loss level</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Take-profit level</w:t>
      </w:r>
    </w:p>
    <w:p>
      <w:pPr>
        <w:spacing w:after="160"/>
        <w:ind w:left="360"/>
      </w:pPr>
      <w:r>
        <w:rPr>
          <w:rFonts w:ascii="Arial" w:cs="Arial" w:eastAsia="Arial" w:hAnsi="Arial"/>
          <w:color w:val="AAAAAA"/>
          <w:sz w:val="18"/>
          <w:szCs w:val="18"/>
        </w:rPr>
        <w:t xml:space="preserve">ATR-based stop-loss (below last swing low or ATR multiple). Take-profit based on Fibonacci extensions or fixed R:R multipliers.</w:t>
      </w:r>
    </w:p>
    <w:p>
      <w:pPr>
        <w:spacing w:after="60" w:before="240"/>
      </w:pPr>
      <w:r>
        <w:rPr>
          <w:rFonts w:ascii="Arial" w:cs="Arial" w:eastAsia="Arial" w:hAnsi="Arial"/>
          <w:b/>
          <w:bCs/>
          <w:color w:val="00FFAA"/>
          <w:sz w:val="22"/>
          <w:szCs w:val="22"/>
        </w:rPr>
        <w:t xml:space="preserve">▸  Trailing Stop</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Trailing stop level</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Method</w:t>
      </w:r>
    </w:p>
    <w:p>
      <w:pPr>
        <w:spacing w:after="160"/>
        <w:ind w:left="360"/>
      </w:pPr>
      <w:r>
        <w:rPr>
          <w:rFonts w:ascii="Arial" w:cs="Arial" w:eastAsia="Arial" w:hAnsi="Arial"/>
          <w:color w:val="AAAAAA"/>
          <w:sz w:val="18"/>
          <w:szCs w:val="18"/>
        </w:rPr>
        <w:t xml:space="preserve">Dynamic stop-loss that rises with price. PSAR = Parabolic SAR-based, ATR = Average True Range-based.</w:t>
      </w:r>
    </w:p>
    <w:p>
      <w:pPr>
        <w:spacing w:after="60" w:before="240"/>
      </w:pPr>
      <w:r>
        <w:rPr>
          <w:rFonts w:ascii="Arial" w:cs="Arial" w:eastAsia="Arial" w:hAnsi="Arial"/>
          <w:b/>
          <w:bCs/>
          <w:color w:val="00FFAA"/>
          <w:sz w:val="22"/>
          <w:szCs w:val="22"/>
        </w:rPr>
        <w:t xml:space="preserve">▸  Size</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Share count + % of account</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Risk label</w:t>
      </w:r>
    </w:p>
    <w:p>
      <w:pPr>
        <w:spacing w:after="160"/>
        <w:ind w:left="360"/>
      </w:pPr>
      <w:r>
        <w:rPr>
          <w:rFonts w:ascii="Arial" w:cs="Arial" w:eastAsia="Arial" w:hAnsi="Arial"/>
          <w:color w:val="AAAAAA"/>
          <w:sz w:val="18"/>
          <w:szCs w:val="18"/>
        </w:rPr>
        <w:t xml:space="preserve">Optimal position size based on Kelly criterion (half Kelly), ATR stop and defined account budget. Shows share count and percentage of account deployed.</w:t>
      </w:r>
    </w:p>
    <w:p>
      <w:pPr>
        <w:spacing w:after="60" w:before="240"/>
      </w:pPr>
      <w:r>
        <w:rPr>
          <w:rFonts w:ascii="Arial" w:cs="Arial" w:eastAsia="Arial" w:hAnsi="Arial"/>
          <w:b/>
          <w:bCs/>
          <w:color w:val="00FFAA"/>
          <w:sz w:val="22"/>
          <w:szCs w:val="22"/>
        </w:rPr>
        <w:t xml:space="preserve">▸  P&amp;L</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Potential profit in €</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Potential loss in €</w:t>
      </w:r>
    </w:p>
    <w:p>
      <w:pPr>
        <w:spacing w:after="160"/>
        <w:ind w:left="360"/>
      </w:pPr>
      <w:r>
        <w:rPr>
          <w:rFonts w:ascii="Arial" w:cs="Arial" w:eastAsia="Arial" w:hAnsi="Arial"/>
          <w:color w:val="AAAAAA"/>
          <w:sz w:val="18"/>
          <w:szCs w:val="18"/>
        </w:rPr>
        <w:t xml:space="preserve">Shows expected profit (at TP1) and maximum loss (at SL) in currency units based on the calculated position size.</w:t>
      </w:r>
    </w:p>
    <w:p>
      <w:pPr>
        <w:spacing w:after="60" w:before="240"/>
      </w:pPr>
      <w:r>
        <w:rPr>
          <w:rFonts w:ascii="Arial" w:cs="Arial" w:eastAsia="Arial" w:hAnsi="Arial"/>
          <w:b/>
          <w:bCs/>
          <w:color w:val="00FFAA"/>
          <w:sz w:val="22"/>
          <w:szCs w:val="22"/>
        </w:rPr>
        <w:t xml:space="preserve">▸  Stop-Loss Quality</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SL quality rating</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Details</w:t>
      </w:r>
    </w:p>
    <w:p>
      <w:pPr>
        <w:spacing w:after="160"/>
        <w:ind w:left="360"/>
      </w:pPr>
      <w:r>
        <w:rPr>
          <w:rFonts w:ascii="Arial" w:cs="Arial" w:eastAsia="Arial" w:hAnsi="Arial"/>
          <w:color w:val="AAAAAA"/>
          <w:sz w:val="18"/>
          <w:szCs w:val="18"/>
        </w:rPr>
        <w:t xml:space="preserve">Rates whether the current stop-loss is sensibly placed (behind swing low, sufficient distance, not too wide).</w:t>
      </w:r>
    </w:p>
    <w:p>
      <w:pPr>
        <w:spacing w:after="60" w:before="240"/>
      </w:pPr>
      <w:r>
        <w:rPr>
          <w:rFonts w:ascii="Arial" w:cs="Arial" w:eastAsia="Arial" w:hAnsi="Arial"/>
          <w:b/>
          <w:bCs/>
          <w:color w:val="00FFAA"/>
          <w:sz w:val="22"/>
          <w:szCs w:val="22"/>
        </w:rPr>
        <w:t xml:space="preserve">▸  Bottoming Signal</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Bottom Score 0–14 + type</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Confidence + phase</w:t>
      </w:r>
    </w:p>
    <w:p>
      <w:pPr>
        <w:spacing w:after="160"/>
        <w:ind w:left="360"/>
      </w:pPr>
      <w:r>
        <w:rPr>
          <w:rFonts w:ascii="Arial" w:cs="Arial" w:eastAsia="Arial" w:hAnsi="Arial"/>
          <w:color w:val="AAAAAA"/>
          <w:sz w:val="18"/>
          <w:szCs w:val="18"/>
        </w:rPr>
        <w:t xml:space="preserve">Detects bottoming processes in 3 phases: Phase 1 = first signals, Phase 2 = confirmed, Phase 2.5 = retest successful. Score ≥4 draws a bottom line on the chart.</w:t>
      </w:r>
    </w:p>
    <w:p>
      <w:pPr>
        <w:spacing w:after="60" w:before="240"/>
      </w:pPr>
      <w:r>
        <w:rPr>
          <w:rFonts w:ascii="Arial" w:cs="Arial" w:eastAsia="Arial" w:hAnsi="Arial"/>
          <w:b/>
          <w:bCs/>
          <w:color w:val="00FFAA"/>
          <w:sz w:val="22"/>
          <w:szCs w:val="22"/>
        </w:rPr>
        <w:t xml:space="preserve">▸  Criteria</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Fulfilled bottom criteria</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Count</w:t>
      </w:r>
    </w:p>
    <w:p>
      <w:pPr>
        <w:spacing w:after="160"/>
        <w:ind w:left="360"/>
      </w:pPr>
      <w:r>
        <w:rPr>
          <w:rFonts w:ascii="Arial" w:cs="Arial" w:eastAsia="Arial" w:hAnsi="Arial"/>
          <w:color w:val="AAAAAA"/>
          <w:sz w:val="18"/>
          <w:szCs w:val="18"/>
        </w:rPr>
        <w:t xml:space="preserve">Lists which of the 14 bottom criteria are currently met (volume patterns, divergences, Wyckoff signals, etc.).</w:t>
      </w:r>
    </w:p>
    <w:p>
      <w:pPr>
        <w:spacing w:after="60" w:before="240"/>
      </w:pPr>
      <w:r>
        <w:rPr>
          <w:rFonts w:ascii="Arial" w:cs="Arial" w:eastAsia="Arial" w:hAnsi="Arial"/>
          <w:b/>
          <w:bCs/>
          <w:color w:val="00FFAA"/>
          <w:sz w:val="22"/>
          <w:szCs w:val="22"/>
        </w:rPr>
        <w:t xml:space="preserve">▸  Early Stage (B+)</w:t>
      </w:r>
    </w:p>
    <w:p>
      <w:pPr>
        <w:spacing w:after="60"/>
        <w:ind w:left="360"/>
      </w:pPr>
      <w:r>
        <w:rPr>
          <w:rFonts w:ascii="Arial" w:cs="Arial" w:eastAsia="Arial" w:hAnsi="Arial"/>
          <w:b/>
          <w:bCs/>
          <w:color w:val="C7A05A"/>
          <w:sz w:val="18"/>
          <w:szCs w:val="18"/>
        </w:rPr>
        <w:t xml:space="preserve">Left: </w:t>
      </w:r>
      <w:r>
        <w:rPr>
          <w:rFonts w:ascii="Arial" w:cs="Arial" w:eastAsia="Arial" w:hAnsi="Arial"/>
          <w:color w:val="CCCCCC"/>
          <w:sz w:val="18"/>
          <w:szCs w:val="18"/>
        </w:rPr>
        <w:t xml:space="preserve">B+ status</w:t>
      </w:r>
      <w:r>
        <w:rPr>
          <w:rFonts w:ascii="Arial" w:cs="Arial" w:eastAsia="Arial" w:hAnsi="Arial"/>
          <w:color w:val="6B7A99"/>
          <w:sz w:val="18"/>
          <w:szCs w:val="18"/>
        </w:rPr>
        <w:t xml:space="preserve">   |   </w:t>
      </w:r>
      <w:r>
        <w:rPr>
          <w:rFonts w:ascii="Arial" w:cs="Arial" w:eastAsia="Arial" w:hAnsi="Arial"/>
          <w:b/>
          <w:bCs/>
          <w:color w:val="5A87B8"/>
          <w:sz w:val="18"/>
          <w:szCs w:val="18"/>
        </w:rPr>
        <w:t xml:space="preserve">Right: </w:t>
      </w:r>
      <w:r>
        <w:rPr>
          <w:rFonts w:ascii="Arial" w:cs="Arial" w:eastAsia="Arial" w:hAnsi="Arial"/>
          <w:color w:val="CCCCCC"/>
          <w:sz w:val="18"/>
          <w:szCs w:val="18"/>
        </w:rPr>
        <w:t xml:space="preserve">RS + Momentum details</w:t>
      </w:r>
    </w:p>
    <w:p>
      <w:pPr>
        <w:spacing w:after="160"/>
        <w:ind w:left="360"/>
      </w:pPr>
      <w:r>
        <w:rPr>
          <w:rFonts w:ascii="Arial" w:cs="Arial" w:eastAsia="Arial" w:hAnsi="Arial"/>
          <w:color w:val="AAAAAA"/>
          <w:sz w:val="18"/>
          <w:szCs w:val="18"/>
        </w:rPr>
        <w:t xml:space="preserve">Detects early accumulation setups before a full A-grade forms. Shows whether RS rating and momentum meet the B+ conditions.</w:t>
      </w:r>
    </w:p>
    <w:p>
      <w:pPr>
        <w:spacing w:after="200"/>
      </w:pPr>
    </w:p>
    <w:p>
      <w:pPr>
        <w:pStyle w:val="Heading2"/>
        <w:spacing w:after="120" w:before="300"/>
      </w:pPr>
      <w:r>
        <w:rPr>
          <w:rFonts w:ascii="Arial" w:cs="Arial" w:eastAsia="Arial" w:hAnsi="Arial"/>
          <w:b/>
          <w:bCs/>
          <w:color w:val="C7A05A"/>
        </w:rPr>
        <w:t xml:space="preserve">8.5 The Alert System</w:t>
      </w:r>
    </w:p>
    <w:p>
      <w:pPr>
        <w:spacing w:after="140"/>
      </w:pPr>
      <w:r>
        <w:rPr>
          <w:rFonts w:ascii="Arial" w:cs="Arial" w:eastAsia="Arial" w:hAnsi="Arial"/>
          <w:color w:val="AAAAAA"/>
          <w:sz w:val="22"/>
          <w:szCs w:val="22"/>
        </w:rPr>
        <w:t xml:space="preserve">PineTrader includes 6 pre-configured alert types that can be pushed directly to your smartphone.</w:t>
      </w:r>
    </w:p>
    <w:p>
      <w:pPr>
        <w:spacing w:after="120"/>
      </w:pP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Alert</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Trigger</w:t>
            </w:r>
          </w:p>
        </w:tc>
        <w:tc>
          <w:tcPr>
            <w:shd w:fill="131C2B" w:val="clear"/>
            <w:tcMar>
              <w:top w:type="dxa" w:w="80"/>
              <w:left w:type="dxa" w:w="120"/>
              <w:bottom w:type="dxa" w:w="80"/>
              <w:right w:type="dxa" w:w="120"/>
            </w:tcMar>
          </w:tcPr>
          <w:p>
            <w:r>
              <w:rPr>
                <w:rFonts w:ascii="Arial" w:cs="Arial" w:eastAsia="Arial" w:hAnsi="Arial"/>
                <w:b/>
                <w:bCs/>
                <w:color w:val="00FFAA"/>
                <w:sz w:val="18"/>
                <w:szCs w:val="18"/>
              </w:rPr>
              <w:t xml:space="preserve">Recommended Action</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BUY Signal</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Full A/A+/A++ buy signal triggered</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Review immediately — potential trade entry</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Acc/RS/Bottom/B+</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Strong accumulation, RS leader or bottoming</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Update watchlist</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Distribution/Structure</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Distribution ≥4 or structure break detected</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Review open positions</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NMPE High</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NMPE bullish ≥70% without A-grade</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Setup building — watch</w:t>
            </w:r>
          </w:p>
        </w:tc>
      </w:tr>
      <w:tr>
        <w:tc>
          <w:tcPr>
            <w:shd w:fill="0D1117" w:val="clear"/>
            <w:tcMar>
              <w:top w:type="dxa" w:w="60"/>
              <w:left w:type="dxa" w:w="120"/>
              <w:bottom w:type="dxa" w:w="60"/>
              <w:right w:type="dxa" w:w="120"/>
            </w:tcMar>
          </w:tcPr>
          <w:p>
            <w:r>
              <w:rPr>
                <w:rFonts w:ascii="Arial" w:cs="Arial" w:eastAsia="Arial" w:hAnsi="Arial"/>
                <w:color w:val="DDDDDD"/>
                <w:sz w:val="18"/>
                <w:szCs w:val="18"/>
              </w:rPr>
              <w:t xml:space="preserve">Trade Signal</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BUY / EXIT / WARN / SHORT combined</w:t>
            </w:r>
          </w:p>
        </w:tc>
        <w:tc>
          <w:tcPr>
            <w:shd w:fill="0D1117" w:val="clear"/>
            <w:tcMar>
              <w:top w:type="dxa" w:w="60"/>
              <w:left w:type="dxa" w:w="120"/>
              <w:bottom w:type="dxa" w:w="60"/>
              <w:right w:type="dxa" w:w="120"/>
            </w:tcMar>
          </w:tcPr>
          <w:p>
            <w:r>
              <w:rPr>
                <w:rFonts w:ascii="Arial" w:cs="Arial" w:eastAsia="Arial" w:hAnsi="Arial"/>
                <w:color w:val="AAAAAA"/>
                <w:sz w:val="18"/>
                <w:szCs w:val="18"/>
              </w:rPr>
              <w:t xml:space="preserve">General signal alert</w:t>
            </w:r>
          </w:p>
        </w:tc>
      </w:tr>
      <w:tr>
        <w:tc>
          <w:tcPr>
            <w:shd w:fill="111822" w:val="clear"/>
            <w:tcMar>
              <w:top w:type="dxa" w:w="60"/>
              <w:left w:type="dxa" w:w="120"/>
              <w:bottom w:type="dxa" w:w="60"/>
              <w:right w:type="dxa" w:w="120"/>
            </w:tcMar>
          </w:tcPr>
          <w:p>
            <w:r>
              <w:rPr>
                <w:rFonts w:ascii="Arial" w:cs="Arial" w:eastAsia="Arial" w:hAnsi="Arial"/>
                <w:color w:val="DDDDDD"/>
                <w:sz w:val="18"/>
                <w:szCs w:val="18"/>
              </w:rPr>
              <w:t xml:space="preserve">Score/Momentum</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Score threshold crossed</w:t>
            </w:r>
          </w:p>
        </w:tc>
        <w:tc>
          <w:tcPr>
            <w:shd w:fill="111822" w:val="clear"/>
            <w:tcMar>
              <w:top w:type="dxa" w:w="60"/>
              <w:left w:type="dxa" w:w="120"/>
              <w:bottom w:type="dxa" w:w="60"/>
              <w:right w:type="dxa" w:w="120"/>
            </w:tcMar>
          </w:tcPr>
          <w:p>
            <w:r>
              <w:rPr>
                <w:rFonts w:ascii="Arial" w:cs="Arial" w:eastAsia="Arial" w:hAnsi="Arial"/>
                <w:color w:val="AAAAAA"/>
                <w:sz w:val="18"/>
                <w:szCs w:val="18"/>
              </w:rPr>
              <w:t xml:space="preserve">For score-based workflows</w:t>
            </w:r>
          </w:p>
        </w:tc>
      </w:tr>
    </w:tbl>
    <w:p>
      <w:pPr>
        <w:spacing w:after="300"/>
      </w:pPr>
    </w:p>
    <w:p>
      <w:r>
        <w:br w:type="page"/>
      </w:r>
    </w:p>
    <w:p>
      <w:pPr>
        <w:pStyle w:val="Heading1"/>
        <w:spacing w:after="120" w:before="300"/>
      </w:pPr>
      <w:r>
        <w:rPr>
          <w:rFonts w:ascii="Arial" w:cs="Arial" w:eastAsia="Arial" w:hAnsi="Arial"/>
          <w:b/>
          <w:bCs/>
          <w:color w:val="00FFAA"/>
        </w:rPr>
        <w:t xml:space="preserve">PART IX: THE DAILY TRADING PROCESS</w:t>
      </w:r>
    </w:p>
    <w:p>
      <w:pPr>
        <w:pStyle w:val="Heading2"/>
        <w:spacing w:after="120" w:before="300"/>
      </w:pPr>
      <w:r>
        <w:rPr>
          <w:rFonts w:ascii="Arial" w:cs="Arial" w:eastAsia="Arial" w:hAnsi="Arial"/>
          <w:b/>
          <w:bCs/>
          <w:color w:val="C7A05A"/>
        </w:rPr>
        <w:t xml:space="preserve">9.1 The Daily Trading Workflow</w:t>
      </w:r>
    </w:p>
    <w:tbl>
      <w:tblPr>
        <w:tblW w:type="dxa" w:w="9200"/>
        <w:tblBorders>
          <w:top w:val="single" w:color="auto" w:sz="4"/>
          <w:left w:val="single" w:color="auto" w:sz="4"/>
          <w:bottom w:val="single" w:color="auto" w:sz="4"/>
          <w:right w:val="single" w:color="auto" w:sz="4"/>
          <w:insideH w:val="single" w:color="auto" w:sz="4"/>
          <w:insideV w:val="single" w:color="auto" w:sz="4"/>
        </w:tblBorders>
        <w:tblCellMar>
          <w:top w:type="dxa" w:w="0"/>
          <w:left w:type="dxa" w:w="0"/>
          <w:bottom w:type="dxa" w:w="0"/>
          <w:right w:type="dxa" w:w="0"/>
        </w:tblCellMar>
      </w:tblPr>
      <w:tblGrid>
        <w:gridCol w:w="100"/>
      </w:tblGrid>
      <w:tr>
        <w:tc>
          <w:tcPr>
            <w:tcW w:type="dxa" w:w="9200"/>
            <w:tcBorders>
              <w:top w:val="single" w:color="00FFAA" w:sz="4"/>
              <w:left w:val="single" w:color="00FFAA" w:sz="4"/>
              <w:bottom w:val="single" w:color="00FFAA" w:sz="4"/>
              <w:right w:val="single" w:color="00FFAA" w:sz="4"/>
            </w:tcBorders>
            <w:shd w:fill="0D2A1E" w:val="clear"/>
            <w:tcMar>
              <w:top w:type="dxa" w:w="120"/>
              <w:left w:type="dxa" w:w="160"/>
              <w:bottom w:type="dxa" w:w="120"/>
              <w:right w:type="dxa" w:w="160"/>
            </w:tcMar>
          </w:tcPr>
          <w:p>
            <w:r>
              <w:rPr>
                <w:rFonts w:ascii="Arial" w:cs="Arial" w:eastAsia="Arial" w:hAnsi="Arial"/>
                <w:b/>
                <w:bCs/>
                <w:color w:val="00FFAA"/>
                <w:sz w:val="20"/>
                <w:szCs w:val="20"/>
              </w:rPr>
              <w:t xml:space="preserve">Morning Routine (15–30 min.)</w:t>
            </w:r>
          </w:p>
          <w:p>
            <w:pPr>
              <w:spacing w:after="60"/>
            </w:pPr>
            <w:r>
              <w:rPr>
                <w:rFonts w:ascii="Arial" w:cs="Arial" w:eastAsia="Arial" w:hAnsi="Arial"/>
                <w:color w:val="CCCCCC"/>
                <w:sz w:val="18"/>
                <w:szCs w:val="18"/>
              </w:rPr>
              <w:t xml:space="preserve">1. Check market regime — Bull/Bear/Chop?</w:t>
            </w:r>
          </w:p>
          <w:p>
            <w:pPr>
              <w:spacing w:after="60"/>
            </w:pPr>
            <w:r>
              <w:rPr>
                <w:rFonts w:ascii="Arial" w:cs="Arial" w:eastAsia="Arial" w:hAnsi="Arial"/>
                <w:color w:val="CCCCCC"/>
                <w:sz w:val="18"/>
                <w:szCs w:val="18"/>
              </w:rPr>
              <w:t xml:space="preserve">2. Scan watchlist — which setups have A/B+ rating?</w:t>
            </w:r>
          </w:p>
          <w:p>
            <w:pPr>
              <w:spacing w:after="60"/>
            </w:pPr>
            <w:r>
              <w:rPr>
                <w:rFonts w:ascii="Arial" w:cs="Arial" w:eastAsia="Arial" w:hAnsi="Arial"/>
                <w:color w:val="CCCCCC"/>
                <w:sz w:val="18"/>
                <w:szCs w:val="18"/>
              </w:rPr>
              <w:t xml:space="preserve">3. Check Distribution Score — any warning signals?</w:t>
            </w:r>
          </w:p>
          <w:p>
            <w:pPr>
              <w:spacing w:after="60"/>
            </w:pPr>
            <w:r>
              <w:rPr>
                <w:rFonts w:ascii="Arial" w:cs="Arial" w:eastAsia="Arial" w:hAnsi="Arial"/>
                <w:color w:val="CCCCCC"/>
                <w:sz w:val="18"/>
                <w:szCs w:val="18"/>
              </w:rPr>
              <w:t xml:space="preserve">4. Calculate position sizes — follow Kelly recommendation</w:t>
            </w:r>
          </w:p>
          <w:p>
            <w:pPr>
              <w:spacing w:after="60"/>
            </w:pPr>
            <w:r>
              <w:rPr>
                <w:rFonts w:ascii="Arial" w:cs="Arial" w:eastAsia="Arial" w:hAnsi="Arial"/>
                <w:color w:val="CCCCCC"/>
                <w:sz w:val="18"/>
                <w:szCs w:val="18"/>
              </w:rPr>
              <w:t xml:space="preserve">5. Review alerts — new signals since yesterday?</w:t>
            </w:r>
          </w:p>
        </w:tc>
      </w:tr>
    </w:tbl>
    <w:p>
      <w:pPr>
        <w:spacing w:after="200"/>
      </w:pPr>
    </w:p>
    <w:p>
      <w:r>
        <w:br w:type="page"/>
      </w:r>
    </w:p>
    <w:p>
      <w:pPr>
        <w:pStyle w:val="Heading1"/>
        <w:spacing w:after="120" w:before="300"/>
      </w:pPr>
      <w:r>
        <w:rPr>
          <w:rFonts w:ascii="Arial" w:cs="Arial" w:eastAsia="Arial" w:hAnsi="Arial"/>
          <w:b/>
          <w:bCs/>
          <w:color w:val="00FFAA"/>
        </w:rPr>
        <w:t xml:space="preserve">Good luck trading!</w:t>
      </w:r>
    </w:p>
    <w:p>
      <w:pPr>
        <w:spacing w:after="140"/>
      </w:pPr>
      <w:r>
        <w:rPr>
          <w:rFonts w:ascii="Arial" w:cs="Arial" w:eastAsia="Arial" w:hAnsi="Arial"/>
          <w:color w:val="CCCCCC"/>
          <w:sz w:val="24"/>
          <w:szCs w:val="24"/>
        </w:rPr>
        <w:t xml:space="preserve">PineTrader is a tool — not an oracle. The best results come from traders who understand the dashboard, question it critically and combine it consistently with risk management. No indicator in the world can replace poor risk management.</w:t>
      </w:r>
    </w:p>
    <w:p>
      <w:pPr>
        <w:spacing w:after="400"/>
      </w:pPr>
    </w:p>
    <w:p>
      <w:pPr>
        <w:jc w:val="center"/>
      </w:pPr>
      <w:r>
        <w:rPr>
          <w:rFonts w:ascii="Arial" w:cs="Arial" w:eastAsia="Arial" w:hAnsi="Arial"/>
          <w:color w:val="00FFAA"/>
          <w:sz w:val="22"/>
          <w:szCs w:val="22"/>
        </w:rPr>
        <w:t xml:space="preserve">pinetrading.net</w:t>
      </w:r>
    </w:p>
    <w:p>
      <w:pPr>
        <w:spacing w:after="200"/>
        <w:jc w:val="center"/>
      </w:pPr>
      <w:r>
        <w:rPr>
          <w:rFonts w:ascii="Arial" w:cs="Arial" w:eastAsia="Arial" w:hAnsi="Arial"/>
          <w:color w:val="6B7A99"/>
          <w:sz w:val="18"/>
          <w:szCs w:val="18"/>
        </w:rPr>
        <w:t xml:space="preserve">info@pinetrading.net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2026-07-13T12:50:50.551Z</dcterms:created>
  <dcterms:modified xsi:type="dcterms:W3CDTF">2026-07-13T12:50:50.551Z</dcterms:modified>
</cp:coreProperties>
</file>

<file path=docProps/custom.xml><?xml version="1.0" encoding="utf-8"?>
<Properties xmlns="http://schemas.openxmlformats.org/officeDocument/2006/custom-properties" xmlns:vt="http://schemas.openxmlformats.org/officeDocument/2006/docPropsVTypes"/>
</file>